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668C4" w:rsidRPr="00B05062" w:rsidRDefault="00B1288B">
      <w:pPr>
        <w:rPr>
          <w:b/>
        </w:rPr>
      </w:pPr>
      <w:r>
        <w:rPr>
          <w:b/>
        </w:rPr>
        <w:t>Analysis of Sales data</w:t>
      </w:r>
    </w:p>
    <w:p w:rsidR="00C87281" w:rsidRDefault="00906EA5">
      <w:r>
        <w:t xml:space="preserve">From the sample dataset of Global superstore data, </w:t>
      </w:r>
      <w:r w:rsidR="00BA7465">
        <w:t>analysis</w:t>
      </w:r>
      <w:r>
        <w:t xml:space="preserve"> is done to find</w:t>
      </w:r>
      <w:r w:rsidR="0010336C">
        <w:t xml:space="preserve"> out the total sales</w:t>
      </w:r>
      <w:r w:rsidR="00172727">
        <w:t xml:space="preserve"> of different products in different parts of</w:t>
      </w:r>
      <w:r w:rsidR="00486E8B">
        <w:t xml:space="preserve"> US</w:t>
      </w:r>
      <w:r w:rsidR="0010336C">
        <w:t>. For that</w:t>
      </w:r>
      <w:r w:rsidR="00486E8B">
        <w:t>, analysis is done to find out</w:t>
      </w:r>
      <w:r>
        <w:t xml:space="preserve"> how the </w:t>
      </w:r>
      <w:r w:rsidR="00931BDF">
        <w:t xml:space="preserve">proposed </w:t>
      </w:r>
      <w:r>
        <w:t>independent variables -</w:t>
      </w:r>
      <w:r w:rsidR="00881CFF">
        <w:t xml:space="preserve"> </w:t>
      </w:r>
      <w:r>
        <w:t>Sh</w:t>
      </w:r>
      <w:r w:rsidR="00881CFF">
        <w:t xml:space="preserve">ipping </w:t>
      </w:r>
      <w:r>
        <w:t>C</w:t>
      </w:r>
      <w:r w:rsidR="00881CFF">
        <w:t>ost</w:t>
      </w:r>
      <w:r>
        <w:t>,</w:t>
      </w:r>
      <w:r w:rsidR="00881CFF">
        <w:t xml:space="preserve"> </w:t>
      </w:r>
      <w:r>
        <w:t>Profit</w:t>
      </w:r>
      <w:r w:rsidR="00881CFF">
        <w:t xml:space="preserve"> and </w:t>
      </w:r>
      <w:r>
        <w:t>Q</w:t>
      </w:r>
      <w:r w:rsidR="00881CFF">
        <w:t xml:space="preserve">uantity of products </w:t>
      </w:r>
      <w:r>
        <w:t>are related t</w:t>
      </w:r>
      <w:r w:rsidR="00881CFF">
        <w:t>o</w:t>
      </w:r>
      <w:r>
        <w:t xml:space="preserve"> </w:t>
      </w:r>
      <w:r w:rsidR="00172727">
        <w:t xml:space="preserve">the dependent variable, </w:t>
      </w:r>
      <w:r>
        <w:t>Sales.</w:t>
      </w:r>
      <w:r w:rsidR="00881CFF">
        <w:t xml:space="preserve"> </w:t>
      </w:r>
      <w:r w:rsidR="00172727">
        <w:t>To start with,</w:t>
      </w:r>
      <w:r w:rsidR="00881CFF">
        <w:t xml:space="preserve"> first the </w:t>
      </w:r>
      <w:r w:rsidR="00881CFF" w:rsidRPr="00B05062">
        <w:rPr>
          <w:b/>
        </w:rPr>
        <w:t>correlation matrix</w:t>
      </w:r>
      <w:r w:rsidR="00881CFF">
        <w:t xml:space="preserve"> is calculated as shown </w:t>
      </w:r>
      <w:r w:rsidR="00BA7465">
        <w:t xml:space="preserve">in the table </w:t>
      </w:r>
      <w:r w:rsidR="00881CFF">
        <w:t>below</w:t>
      </w:r>
      <w:r>
        <w:t xml:space="preserve"> to find the relation between variables</w:t>
      </w:r>
      <w:r w:rsidR="00881CFF">
        <w:t>.</w:t>
      </w:r>
    </w:p>
    <w:tbl>
      <w:tblPr>
        <w:tblW w:w="6440" w:type="dxa"/>
        <w:tblInd w:w="-5" w:type="dxa"/>
        <w:tblLook w:val="04A0" w:firstRow="1" w:lastRow="0" w:firstColumn="1" w:lastColumn="0" w:noHBand="0" w:noVBand="1"/>
      </w:tblPr>
      <w:tblGrid>
        <w:gridCol w:w="1700"/>
        <w:gridCol w:w="1164"/>
        <w:gridCol w:w="1387"/>
        <w:gridCol w:w="1053"/>
        <w:gridCol w:w="1360"/>
      </w:tblGrid>
      <w:tr w:rsidR="00B8420D" w:rsidRPr="00B8420D" w:rsidTr="00B8420D">
        <w:trPr>
          <w:trHeight w:val="30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420D" w:rsidRPr="00B8420D" w:rsidRDefault="00B8420D" w:rsidP="00B8420D">
            <w:pPr>
              <w:spacing w:after="0" w:line="240" w:lineRule="auto"/>
              <w:jc w:val="center"/>
              <w:rPr>
                <w:rFonts w:ascii="Calibri" w:eastAsia="Times New Roman" w:hAnsi="Calibri" w:cs="Times New Roman"/>
                <w:i/>
                <w:iCs/>
                <w:color w:val="000000"/>
                <w:sz w:val="22"/>
              </w:rPr>
            </w:pPr>
            <w:r w:rsidRPr="00B8420D">
              <w:rPr>
                <w:rFonts w:ascii="Calibri" w:eastAsia="Times New Roman" w:hAnsi="Calibri" w:cs="Times New Roman"/>
                <w:i/>
                <w:iCs/>
                <w:color w:val="000000"/>
                <w:sz w:val="22"/>
              </w:rPr>
              <w:t> </w:t>
            </w:r>
          </w:p>
        </w:tc>
        <w:tc>
          <w:tcPr>
            <w:tcW w:w="1060" w:type="dxa"/>
            <w:tcBorders>
              <w:top w:val="single" w:sz="4" w:space="0" w:color="auto"/>
              <w:left w:val="nil"/>
              <w:bottom w:val="single" w:sz="4" w:space="0" w:color="auto"/>
              <w:right w:val="single" w:sz="4" w:space="0" w:color="auto"/>
            </w:tcBorders>
            <w:shd w:val="clear" w:color="auto" w:fill="auto"/>
            <w:noWrap/>
            <w:vAlign w:val="center"/>
            <w:hideMark/>
          </w:tcPr>
          <w:p w:rsidR="00B8420D" w:rsidRPr="00B8420D" w:rsidRDefault="00B8420D" w:rsidP="00B8420D">
            <w:pPr>
              <w:spacing w:after="0" w:line="240" w:lineRule="auto"/>
              <w:jc w:val="center"/>
              <w:rPr>
                <w:rFonts w:ascii="Calibri" w:eastAsia="Times New Roman" w:hAnsi="Calibri" w:cs="Times New Roman"/>
                <w:b/>
                <w:bCs/>
                <w:color w:val="000000"/>
                <w:sz w:val="22"/>
              </w:rPr>
            </w:pPr>
            <w:r w:rsidRPr="00B8420D">
              <w:rPr>
                <w:rFonts w:ascii="Calibri" w:eastAsia="Times New Roman" w:hAnsi="Calibri" w:cs="Times New Roman"/>
                <w:b/>
                <w:bCs/>
                <w:color w:val="000000"/>
                <w:sz w:val="22"/>
              </w:rPr>
              <w:t>Sales</w:t>
            </w: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rsidR="00B8420D" w:rsidRPr="00B8420D" w:rsidRDefault="00B8420D" w:rsidP="00B8420D">
            <w:pPr>
              <w:spacing w:after="0" w:line="240" w:lineRule="auto"/>
              <w:jc w:val="center"/>
              <w:rPr>
                <w:rFonts w:ascii="Calibri" w:eastAsia="Times New Roman" w:hAnsi="Calibri" w:cs="Times New Roman"/>
                <w:b/>
                <w:bCs/>
                <w:color w:val="000000"/>
                <w:sz w:val="22"/>
              </w:rPr>
            </w:pPr>
            <w:r w:rsidRPr="00B8420D">
              <w:rPr>
                <w:rFonts w:ascii="Calibri" w:eastAsia="Times New Roman" w:hAnsi="Calibri" w:cs="Times New Roman"/>
                <w:b/>
                <w:bCs/>
                <w:color w:val="000000"/>
                <w:sz w:val="22"/>
              </w:rPr>
              <w:t>Shipping Cost</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B8420D" w:rsidRPr="00B8420D" w:rsidRDefault="00B8420D" w:rsidP="00B8420D">
            <w:pPr>
              <w:spacing w:after="0" w:line="240" w:lineRule="auto"/>
              <w:jc w:val="center"/>
              <w:rPr>
                <w:rFonts w:ascii="Calibri" w:eastAsia="Times New Roman" w:hAnsi="Calibri" w:cs="Times New Roman"/>
                <w:b/>
                <w:bCs/>
                <w:color w:val="000000"/>
                <w:sz w:val="22"/>
              </w:rPr>
            </w:pPr>
            <w:r w:rsidRPr="00B8420D">
              <w:rPr>
                <w:rFonts w:ascii="Calibri" w:eastAsia="Times New Roman" w:hAnsi="Calibri" w:cs="Times New Roman"/>
                <w:b/>
                <w:bCs/>
                <w:color w:val="000000"/>
                <w:sz w:val="22"/>
              </w:rPr>
              <w:t>Profit</w:t>
            </w:r>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rsidR="00B8420D" w:rsidRPr="00B8420D" w:rsidRDefault="00B8420D" w:rsidP="00B8420D">
            <w:pPr>
              <w:spacing w:after="0" w:line="240" w:lineRule="auto"/>
              <w:jc w:val="center"/>
              <w:rPr>
                <w:rFonts w:ascii="Calibri" w:eastAsia="Times New Roman" w:hAnsi="Calibri" w:cs="Times New Roman"/>
                <w:b/>
                <w:bCs/>
                <w:color w:val="000000"/>
                <w:sz w:val="22"/>
              </w:rPr>
            </w:pPr>
            <w:r w:rsidRPr="00B8420D">
              <w:rPr>
                <w:rFonts w:ascii="Calibri" w:eastAsia="Times New Roman" w:hAnsi="Calibri" w:cs="Times New Roman"/>
                <w:b/>
                <w:bCs/>
                <w:color w:val="000000"/>
                <w:sz w:val="22"/>
              </w:rPr>
              <w:t>Quantity</w:t>
            </w:r>
          </w:p>
        </w:tc>
      </w:tr>
      <w:tr w:rsidR="00B8420D" w:rsidRPr="00B8420D" w:rsidTr="00B8420D">
        <w:trPr>
          <w:trHeight w:val="30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rsidR="00B8420D" w:rsidRPr="00B8420D" w:rsidRDefault="00B8420D" w:rsidP="00B8420D">
            <w:pPr>
              <w:spacing w:after="0" w:line="240" w:lineRule="auto"/>
              <w:jc w:val="center"/>
              <w:rPr>
                <w:rFonts w:ascii="Calibri" w:eastAsia="Times New Roman" w:hAnsi="Calibri" w:cs="Times New Roman"/>
                <w:b/>
                <w:bCs/>
                <w:color w:val="000000"/>
                <w:sz w:val="22"/>
              </w:rPr>
            </w:pPr>
            <w:r w:rsidRPr="00B8420D">
              <w:rPr>
                <w:rFonts w:ascii="Calibri" w:eastAsia="Times New Roman" w:hAnsi="Calibri" w:cs="Times New Roman"/>
                <w:b/>
                <w:bCs/>
                <w:color w:val="000000"/>
                <w:sz w:val="22"/>
              </w:rPr>
              <w:t>Sales</w:t>
            </w:r>
          </w:p>
        </w:tc>
        <w:tc>
          <w:tcPr>
            <w:tcW w:w="1060" w:type="dxa"/>
            <w:tcBorders>
              <w:top w:val="nil"/>
              <w:left w:val="nil"/>
              <w:bottom w:val="single" w:sz="4" w:space="0" w:color="auto"/>
              <w:right w:val="single" w:sz="4" w:space="0" w:color="auto"/>
            </w:tcBorders>
            <w:shd w:val="clear" w:color="auto" w:fill="auto"/>
            <w:noWrap/>
            <w:vAlign w:val="bottom"/>
            <w:hideMark/>
          </w:tcPr>
          <w:p w:rsidR="00B8420D" w:rsidRPr="00B8420D" w:rsidRDefault="00B8420D" w:rsidP="00B8420D">
            <w:pPr>
              <w:spacing w:after="0" w:line="240" w:lineRule="auto"/>
              <w:jc w:val="right"/>
              <w:rPr>
                <w:rFonts w:ascii="Calibri" w:eastAsia="Times New Roman" w:hAnsi="Calibri" w:cs="Times New Roman"/>
                <w:color w:val="000000"/>
                <w:sz w:val="22"/>
              </w:rPr>
            </w:pPr>
            <w:r w:rsidRPr="00B8420D">
              <w:rPr>
                <w:rFonts w:ascii="Calibri" w:eastAsia="Times New Roman" w:hAnsi="Calibri" w:cs="Times New Roman"/>
                <w:color w:val="000000"/>
                <w:sz w:val="22"/>
              </w:rPr>
              <w:t>1</w:t>
            </w:r>
          </w:p>
        </w:tc>
        <w:tc>
          <w:tcPr>
            <w:tcW w:w="1360" w:type="dxa"/>
            <w:tcBorders>
              <w:top w:val="nil"/>
              <w:left w:val="nil"/>
              <w:bottom w:val="single" w:sz="4" w:space="0" w:color="auto"/>
              <w:right w:val="single" w:sz="4" w:space="0" w:color="auto"/>
            </w:tcBorders>
            <w:shd w:val="clear" w:color="auto" w:fill="auto"/>
            <w:noWrap/>
            <w:vAlign w:val="bottom"/>
            <w:hideMark/>
          </w:tcPr>
          <w:p w:rsidR="00B8420D" w:rsidRPr="00B8420D" w:rsidRDefault="00B8420D" w:rsidP="00B8420D">
            <w:pPr>
              <w:spacing w:after="0" w:line="240" w:lineRule="auto"/>
              <w:rPr>
                <w:rFonts w:ascii="Calibri" w:eastAsia="Times New Roman" w:hAnsi="Calibri" w:cs="Times New Roman"/>
                <w:color w:val="000000"/>
                <w:sz w:val="22"/>
              </w:rPr>
            </w:pPr>
            <w:r w:rsidRPr="00B8420D">
              <w:rPr>
                <w:rFonts w:ascii="Calibri" w:eastAsia="Times New Roman" w:hAnsi="Calibri" w:cs="Times New Roman"/>
                <w:color w:val="000000"/>
                <w:sz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B8420D" w:rsidRPr="00B8420D" w:rsidRDefault="00B8420D" w:rsidP="00B8420D">
            <w:pPr>
              <w:spacing w:after="0" w:line="240" w:lineRule="auto"/>
              <w:rPr>
                <w:rFonts w:ascii="Calibri" w:eastAsia="Times New Roman" w:hAnsi="Calibri" w:cs="Times New Roman"/>
                <w:color w:val="000000"/>
                <w:sz w:val="22"/>
              </w:rPr>
            </w:pPr>
            <w:r w:rsidRPr="00B8420D">
              <w:rPr>
                <w:rFonts w:ascii="Calibri" w:eastAsia="Times New Roman" w:hAnsi="Calibri" w:cs="Times New Roman"/>
                <w:color w:val="000000"/>
                <w:sz w:val="22"/>
              </w:rPr>
              <w:t> </w:t>
            </w:r>
          </w:p>
        </w:tc>
        <w:tc>
          <w:tcPr>
            <w:tcW w:w="1360" w:type="dxa"/>
            <w:tcBorders>
              <w:top w:val="nil"/>
              <w:left w:val="nil"/>
              <w:bottom w:val="single" w:sz="4" w:space="0" w:color="auto"/>
              <w:right w:val="single" w:sz="4" w:space="0" w:color="auto"/>
            </w:tcBorders>
            <w:shd w:val="clear" w:color="auto" w:fill="auto"/>
            <w:noWrap/>
            <w:vAlign w:val="bottom"/>
            <w:hideMark/>
          </w:tcPr>
          <w:p w:rsidR="00B8420D" w:rsidRPr="00B8420D" w:rsidRDefault="00B8420D" w:rsidP="00B8420D">
            <w:pPr>
              <w:spacing w:after="0" w:line="240" w:lineRule="auto"/>
              <w:rPr>
                <w:rFonts w:ascii="Calibri" w:eastAsia="Times New Roman" w:hAnsi="Calibri" w:cs="Times New Roman"/>
                <w:color w:val="000000"/>
                <w:sz w:val="22"/>
              </w:rPr>
            </w:pPr>
            <w:r w:rsidRPr="00B8420D">
              <w:rPr>
                <w:rFonts w:ascii="Calibri" w:eastAsia="Times New Roman" w:hAnsi="Calibri" w:cs="Times New Roman"/>
                <w:color w:val="000000"/>
                <w:sz w:val="22"/>
              </w:rPr>
              <w:t> </w:t>
            </w:r>
          </w:p>
        </w:tc>
      </w:tr>
      <w:tr w:rsidR="00B8420D" w:rsidRPr="00B8420D" w:rsidTr="00B8420D">
        <w:trPr>
          <w:trHeight w:val="30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rsidR="00B8420D" w:rsidRPr="00B8420D" w:rsidRDefault="00B8420D" w:rsidP="00B8420D">
            <w:pPr>
              <w:spacing w:after="0" w:line="240" w:lineRule="auto"/>
              <w:jc w:val="center"/>
              <w:rPr>
                <w:rFonts w:ascii="Calibri" w:eastAsia="Times New Roman" w:hAnsi="Calibri" w:cs="Times New Roman"/>
                <w:b/>
                <w:bCs/>
                <w:color w:val="000000"/>
                <w:sz w:val="22"/>
              </w:rPr>
            </w:pPr>
            <w:r w:rsidRPr="00B8420D">
              <w:rPr>
                <w:rFonts w:ascii="Calibri" w:eastAsia="Times New Roman" w:hAnsi="Calibri" w:cs="Times New Roman"/>
                <w:b/>
                <w:bCs/>
                <w:color w:val="000000"/>
                <w:sz w:val="22"/>
              </w:rPr>
              <w:t>Shipping Cost</w:t>
            </w:r>
          </w:p>
        </w:tc>
        <w:tc>
          <w:tcPr>
            <w:tcW w:w="1060" w:type="dxa"/>
            <w:tcBorders>
              <w:top w:val="nil"/>
              <w:left w:val="nil"/>
              <w:bottom w:val="single" w:sz="4" w:space="0" w:color="auto"/>
              <w:right w:val="single" w:sz="4" w:space="0" w:color="auto"/>
            </w:tcBorders>
            <w:shd w:val="clear" w:color="auto" w:fill="auto"/>
            <w:noWrap/>
            <w:vAlign w:val="bottom"/>
            <w:hideMark/>
          </w:tcPr>
          <w:p w:rsidR="00B8420D" w:rsidRPr="00B8420D" w:rsidRDefault="00B8420D" w:rsidP="00B8420D">
            <w:pPr>
              <w:spacing w:after="0" w:line="240" w:lineRule="auto"/>
              <w:jc w:val="right"/>
              <w:rPr>
                <w:rFonts w:ascii="Calibri" w:eastAsia="Times New Roman" w:hAnsi="Calibri" w:cs="Times New Roman"/>
                <w:color w:val="000000"/>
                <w:sz w:val="22"/>
              </w:rPr>
            </w:pPr>
            <w:r w:rsidRPr="00B8420D">
              <w:rPr>
                <w:rFonts w:ascii="Calibri" w:eastAsia="Times New Roman" w:hAnsi="Calibri" w:cs="Times New Roman"/>
                <w:color w:val="000000"/>
                <w:sz w:val="22"/>
              </w:rPr>
              <w:t>0.9628176</w:t>
            </w:r>
          </w:p>
        </w:tc>
        <w:tc>
          <w:tcPr>
            <w:tcW w:w="1360" w:type="dxa"/>
            <w:tcBorders>
              <w:top w:val="nil"/>
              <w:left w:val="nil"/>
              <w:bottom w:val="single" w:sz="4" w:space="0" w:color="auto"/>
              <w:right w:val="single" w:sz="4" w:space="0" w:color="auto"/>
            </w:tcBorders>
            <w:shd w:val="clear" w:color="auto" w:fill="auto"/>
            <w:noWrap/>
            <w:vAlign w:val="bottom"/>
            <w:hideMark/>
          </w:tcPr>
          <w:p w:rsidR="00B8420D" w:rsidRPr="00B8420D" w:rsidRDefault="00B8420D" w:rsidP="00B8420D">
            <w:pPr>
              <w:spacing w:after="0" w:line="240" w:lineRule="auto"/>
              <w:jc w:val="right"/>
              <w:rPr>
                <w:rFonts w:ascii="Calibri" w:eastAsia="Times New Roman" w:hAnsi="Calibri" w:cs="Times New Roman"/>
                <w:color w:val="000000"/>
                <w:sz w:val="22"/>
              </w:rPr>
            </w:pPr>
            <w:r w:rsidRPr="00B8420D">
              <w:rPr>
                <w:rFonts w:ascii="Calibri" w:eastAsia="Times New Roman" w:hAnsi="Calibri" w:cs="Times New Roman"/>
                <w:color w:val="000000"/>
                <w:sz w:val="22"/>
              </w:rPr>
              <w:t>1</w:t>
            </w:r>
          </w:p>
        </w:tc>
        <w:tc>
          <w:tcPr>
            <w:tcW w:w="960" w:type="dxa"/>
            <w:tcBorders>
              <w:top w:val="nil"/>
              <w:left w:val="nil"/>
              <w:bottom w:val="single" w:sz="4" w:space="0" w:color="auto"/>
              <w:right w:val="single" w:sz="4" w:space="0" w:color="auto"/>
            </w:tcBorders>
            <w:shd w:val="clear" w:color="auto" w:fill="auto"/>
            <w:noWrap/>
            <w:vAlign w:val="bottom"/>
            <w:hideMark/>
          </w:tcPr>
          <w:p w:rsidR="00B8420D" w:rsidRPr="00B8420D" w:rsidRDefault="00B8420D" w:rsidP="00B8420D">
            <w:pPr>
              <w:spacing w:after="0" w:line="240" w:lineRule="auto"/>
              <w:rPr>
                <w:rFonts w:ascii="Calibri" w:eastAsia="Times New Roman" w:hAnsi="Calibri" w:cs="Times New Roman"/>
                <w:color w:val="000000"/>
                <w:sz w:val="22"/>
              </w:rPr>
            </w:pPr>
            <w:r w:rsidRPr="00B8420D">
              <w:rPr>
                <w:rFonts w:ascii="Calibri" w:eastAsia="Times New Roman" w:hAnsi="Calibri" w:cs="Times New Roman"/>
                <w:color w:val="000000"/>
                <w:sz w:val="22"/>
              </w:rPr>
              <w:t> </w:t>
            </w:r>
          </w:p>
        </w:tc>
        <w:tc>
          <w:tcPr>
            <w:tcW w:w="1360" w:type="dxa"/>
            <w:tcBorders>
              <w:top w:val="nil"/>
              <w:left w:val="nil"/>
              <w:bottom w:val="single" w:sz="4" w:space="0" w:color="auto"/>
              <w:right w:val="single" w:sz="4" w:space="0" w:color="auto"/>
            </w:tcBorders>
            <w:shd w:val="clear" w:color="auto" w:fill="auto"/>
            <w:noWrap/>
            <w:vAlign w:val="bottom"/>
            <w:hideMark/>
          </w:tcPr>
          <w:p w:rsidR="00B8420D" w:rsidRPr="00B8420D" w:rsidRDefault="00B8420D" w:rsidP="00B8420D">
            <w:pPr>
              <w:spacing w:after="0" w:line="240" w:lineRule="auto"/>
              <w:rPr>
                <w:rFonts w:ascii="Calibri" w:eastAsia="Times New Roman" w:hAnsi="Calibri" w:cs="Times New Roman"/>
                <w:color w:val="000000"/>
                <w:sz w:val="22"/>
              </w:rPr>
            </w:pPr>
            <w:r w:rsidRPr="00B8420D">
              <w:rPr>
                <w:rFonts w:ascii="Calibri" w:eastAsia="Times New Roman" w:hAnsi="Calibri" w:cs="Times New Roman"/>
                <w:color w:val="000000"/>
                <w:sz w:val="22"/>
              </w:rPr>
              <w:t> </w:t>
            </w:r>
          </w:p>
        </w:tc>
      </w:tr>
      <w:tr w:rsidR="00B8420D" w:rsidRPr="00B8420D" w:rsidTr="00B8420D">
        <w:trPr>
          <w:trHeight w:val="30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rsidR="00B8420D" w:rsidRPr="00B8420D" w:rsidRDefault="00B8420D" w:rsidP="00B8420D">
            <w:pPr>
              <w:spacing w:after="0" w:line="240" w:lineRule="auto"/>
              <w:jc w:val="center"/>
              <w:rPr>
                <w:rFonts w:ascii="Calibri" w:eastAsia="Times New Roman" w:hAnsi="Calibri" w:cs="Times New Roman"/>
                <w:b/>
                <w:bCs/>
                <w:color w:val="000000"/>
                <w:sz w:val="22"/>
              </w:rPr>
            </w:pPr>
            <w:r w:rsidRPr="00B8420D">
              <w:rPr>
                <w:rFonts w:ascii="Calibri" w:eastAsia="Times New Roman" w:hAnsi="Calibri" w:cs="Times New Roman"/>
                <w:b/>
                <w:bCs/>
                <w:color w:val="000000"/>
                <w:sz w:val="22"/>
              </w:rPr>
              <w:t>Profit</w:t>
            </w:r>
          </w:p>
        </w:tc>
        <w:tc>
          <w:tcPr>
            <w:tcW w:w="1060" w:type="dxa"/>
            <w:tcBorders>
              <w:top w:val="nil"/>
              <w:left w:val="nil"/>
              <w:bottom w:val="single" w:sz="4" w:space="0" w:color="auto"/>
              <w:right w:val="single" w:sz="4" w:space="0" w:color="auto"/>
            </w:tcBorders>
            <w:shd w:val="clear" w:color="auto" w:fill="auto"/>
            <w:noWrap/>
            <w:vAlign w:val="bottom"/>
            <w:hideMark/>
          </w:tcPr>
          <w:p w:rsidR="00B8420D" w:rsidRPr="00B8420D" w:rsidRDefault="00B8420D" w:rsidP="00B8420D">
            <w:pPr>
              <w:spacing w:after="0" w:line="240" w:lineRule="auto"/>
              <w:jc w:val="right"/>
              <w:rPr>
                <w:rFonts w:ascii="Calibri" w:eastAsia="Times New Roman" w:hAnsi="Calibri" w:cs="Times New Roman"/>
                <w:color w:val="000000"/>
                <w:sz w:val="22"/>
              </w:rPr>
            </w:pPr>
            <w:r w:rsidRPr="00B8420D">
              <w:rPr>
                <w:rFonts w:ascii="Calibri" w:eastAsia="Times New Roman" w:hAnsi="Calibri" w:cs="Times New Roman"/>
                <w:color w:val="000000"/>
                <w:sz w:val="22"/>
              </w:rPr>
              <w:t>0.6743871</w:t>
            </w:r>
          </w:p>
        </w:tc>
        <w:tc>
          <w:tcPr>
            <w:tcW w:w="1360" w:type="dxa"/>
            <w:tcBorders>
              <w:top w:val="nil"/>
              <w:left w:val="nil"/>
              <w:bottom w:val="single" w:sz="4" w:space="0" w:color="auto"/>
              <w:right w:val="single" w:sz="4" w:space="0" w:color="auto"/>
            </w:tcBorders>
            <w:shd w:val="clear" w:color="auto" w:fill="auto"/>
            <w:noWrap/>
            <w:vAlign w:val="bottom"/>
            <w:hideMark/>
          </w:tcPr>
          <w:p w:rsidR="00B8420D" w:rsidRPr="00B8420D" w:rsidRDefault="00B8420D" w:rsidP="00B8420D">
            <w:pPr>
              <w:spacing w:after="0" w:line="240" w:lineRule="auto"/>
              <w:jc w:val="right"/>
              <w:rPr>
                <w:rFonts w:ascii="Calibri" w:eastAsia="Times New Roman" w:hAnsi="Calibri" w:cs="Times New Roman"/>
                <w:color w:val="000000"/>
                <w:sz w:val="22"/>
              </w:rPr>
            </w:pPr>
            <w:r w:rsidRPr="00B8420D">
              <w:rPr>
                <w:rFonts w:ascii="Calibri" w:eastAsia="Times New Roman" w:hAnsi="Calibri" w:cs="Times New Roman"/>
                <w:color w:val="000000"/>
                <w:sz w:val="22"/>
              </w:rPr>
              <w:t>0.710757594</w:t>
            </w:r>
          </w:p>
        </w:tc>
        <w:tc>
          <w:tcPr>
            <w:tcW w:w="960" w:type="dxa"/>
            <w:tcBorders>
              <w:top w:val="nil"/>
              <w:left w:val="nil"/>
              <w:bottom w:val="single" w:sz="4" w:space="0" w:color="auto"/>
              <w:right w:val="single" w:sz="4" w:space="0" w:color="auto"/>
            </w:tcBorders>
            <w:shd w:val="clear" w:color="auto" w:fill="auto"/>
            <w:noWrap/>
            <w:vAlign w:val="bottom"/>
            <w:hideMark/>
          </w:tcPr>
          <w:p w:rsidR="00B8420D" w:rsidRPr="00B8420D" w:rsidRDefault="00B8420D" w:rsidP="00B8420D">
            <w:pPr>
              <w:spacing w:after="0" w:line="240" w:lineRule="auto"/>
              <w:jc w:val="right"/>
              <w:rPr>
                <w:rFonts w:ascii="Calibri" w:eastAsia="Times New Roman" w:hAnsi="Calibri" w:cs="Times New Roman"/>
                <w:color w:val="000000"/>
                <w:sz w:val="22"/>
              </w:rPr>
            </w:pPr>
            <w:r w:rsidRPr="00B8420D">
              <w:rPr>
                <w:rFonts w:ascii="Calibri" w:eastAsia="Times New Roman" w:hAnsi="Calibri" w:cs="Times New Roman"/>
                <w:color w:val="000000"/>
                <w:sz w:val="22"/>
              </w:rPr>
              <w:t>1</w:t>
            </w:r>
          </w:p>
        </w:tc>
        <w:tc>
          <w:tcPr>
            <w:tcW w:w="1360" w:type="dxa"/>
            <w:tcBorders>
              <w:top w:val="nil"/>
              <w:left w:val="nil"/>
              <w:bottom w:val="single" w:sz="4" w:space="0" w:color="auto"/>
              <w:right w:val="single" w:sz="4" w:space="0" w:color="auto"/>
            </w:tcBorders>
            <w:shd w:val="clear" w:color="auto" w:fill="auto"/>
            <w:noWrap/>
            <w:vAlign w:val="bottom"/>
            <w:hideMark/>
          </w:tcPr>
          <w:p w:rsidR="00B8420D" w:rsidRPr="00B8420D" w:rsidRDefault="00B8420D" w:rsidP="00B8420D">
            <w:pPr>
              <w:spacing w:after="0" w:line="240" w:lineRule="auto"/>
              <w:rPr>
                <w:rFonts w:ascii="Calibri" w:eastAsia="Times New Roman" w:hAnsi="Calibri" w:cs="Times New Roman"/>
                <w:color w:val="000000"/>
                <w:sz w:val="22"/>
              </w:rPr>
            </w:pPr>
            <w:r w:rsidRPr="00B8420D">
              <w:rPr>
                <w:rFonts w:ascii="Calibri" w:eastAsia="Times New Roman" w:hAnsi="Calibri" w:cs="Times New Roman"/>
                <w:color w:val="000000"/>
                <w:sz w:val="22"/>
              </w:rPr>
              <w:t> </w:t>
            </w:r>
          </w:p>
        </w:tc>
      </w:tr>
      <w:tr w:rsidR="00B8420D" w:rsidRPr="00B8420D" w:rsidTr="00B8420D">
        <w:trPr>
          <w:trHeight w:val="300"/>
        </w:trPr>
        <w:tc>
          <w:tcPr>
            <w:tcW w:w="1700" w:type="dxa"/>
            <w:tcBorders>
              <w:top w:val="nil"/>
              <w:left w:val="single" w:sz="4" w:space="0" w:color="auto"/>
              <w:bottom w:val="single" w:sz="4" w:space="0" w:color="auto"/>
              <w:right w:val="single" w:sz="4" w:space="0" w:color="auto"/>
            </w:tcBorders>
            <w:shd w:val="clear" w:color="auto" w:fill="auto"/>
            <w:noWrap/>
            <w:vAlign w:val="center"/>
            <w:hideMark/>
          </w:tcPr>
          <w:p w:rsidR="00B8420D" w:rsidRPr="00B8420D" w:rsidRDefault="00B8420D" w:rsidP="00B8420D">
            <w:pPr>
              <w:spacing w:after="0" w:line="240" w:lineRule="auto"/>
              <w:jc w:val="center"/>
              <w:rPr>
                <w:rFonts w:ascii="Calibri" w:eastAsia="Times New Roman" w:hAnsi="Calibri" w:cs="Times New Roman"/>
                <w:b/>
                <w:bCs/>
                <w:color w:val="000000"/>
                <w:sz w:val="22"/>
              </w:rPr>
            </w:pPr>
            <w:r w:rsidRPr="00B8420D">
              <w:rPr>
                <w:rFonts w:ascii="Calibri" w:eastAsia="Times New Roman" w:hAnsi="Calibri" w:cs="Times New Roman"/>
                <w:b/>
                <w:bCs/>
                <w:color w:val="000000"/>
                <w:sz w:val="22"/>
              </w:rPr>
              <w:t>Quantity</w:t>
            </w:r>
          </w:p>
        </w:tc>
        <w:tc>
          <w:tcPr>
            <w:tcW w:w="1060" w:type="dxa"/>
            <w:tcBorders>
              <w:top w:val="nil"/>
              <w:left w:val="nil"/>
              <w:bottom w:val="single" w:sz="4" w:space="0" w:color="auto"/>
              <w:right w:val="single" w:sz="4" w:space="0" w:color="auto"/>
            </w:tcBorders>
            <w:shd w:val="clear" w:color="auto" w:fill="auto"/>
            <w:noWrap/>
            <w:vAlign w:val="bottom"/>
            <w:hideMark/>
          </w:tcPr>
          <w:p w:rsidR="00B8420D" w:rsidRPr="00B8420D" w:rsidRDefault="00B8420D" w:rsidP="00B8420D">
            <w:pPr>
              <w:spacing w:after="0" w:line="240" w:lineRule="auto"/>
              <w:jc w:val="right"/>
              <w:rPr>
                <w:rFonts w:ascii="Calibri" w:eastAsia="Times New Roman" w:hAnsi="Calibri" w:cs="Times New Roman"/>
                <w:color w:val="000000"/>
                <w:sz w:val="22"/>
              </w:rPr>
            </w:pPr>
            <w:r w:rsidRPr="00B8420D">
              <w:rPr>
                <w:rFonts w:ascii="Calibri" w:eastAsia="Times New Roman" w:hAnsi="Calibri" w:cs="Times New Roman"/>
                <w:color w:val="000000"/>
                <w:sz w:val="22"/>
              </w:rPr>
              <w:t>0.21495</w:t>
            </w:r>
          </w:p>
        </w:tc>
        <w:tc>
          <w:tcPr>
            <w:tcW w:w="1360" w:type="dxa"/>
            <w:tcBorders>
              <w:top w:val="nil"/>
              <w:left w:val="nil"/>
              <w:bottom w:val="single" w:sz="4" w:space="0" w:color="auto"/>
              <w:right w:val="single" w:sz="4" w:space="0" w:color="auto"/>
            </w:tcBorders>
            <w:shd w:val="clear" w:color="auto" w:fill="auto"/>
            <w:noWrap/>
            <w:vAlign w:val="bottom"/>
            <w:hideMark/>
          </w:tcPr>
          <w:p w:rsidR="00B8420D" w:rsidRPr="00B8420D" w:rsidRDefault="00B8420D" w:rsidP="00B8420D">
            <w:pPr>
              <w:spacing w:after="0" w:line="240" w:lineRule="auto"/>
              <w:jc w:val="right"/>
              <w:rPr>
                <w:rFonts w:ascii="Calibri" w:eastAsia="Times New Roman" w:hAnsi="Calibri" w:cs="Times New Roman"/>
                <w:color w:val="000000"/>
                <w:sz w:val="22"/>
              </w:rPr>
            </w:pPr>
            <w:r w:rsidRPr="00B8420D">
              <w:rPr>
                <w:rFonts w:ascii="Calibri" w:eastAsia="Times New Roman" w:hAnsi="Calibri" w:cs="Times New Roman"/>
                <w:color w:val="000000"/>
                <w:sz w:val="22"/>
              </w:rPr>
              <w:t>0.233861806</w:t>
            </w:r>
          </w:p>
        </w:tc>
        <w:tc>
          <w:tcPr>
            <w:tcW w:w="960" w:type="dxa"/>
            <w:tcBorders>
              <w:top w:val="nil"/>
              <w:left w:val="nil"/>
              <w:bottom w:val="single" w:sz="4" w:space="0" w:color="auto"/>
              <w:right w:val="single" w:sz="4" w:space="0" w:color="auto"/>
            </w:tcBorders>
            <w:shd w:val="clear" w:color="auto" w:fill="auto"/>
            <w:noWrap/>
            <w:vAlign w:val="bottom"/>
            <w:hideMark/>
          </w:tcPr>
          <w:p w:rsidR="00B8420D" w:rsidRPr="00B8420D" w:rsidRDefault="00B8420D" w:rsidP="00B8420D">
            <w:pPr>
              <w:spacing w:after="0" w:line="240" w:lineRule="auto"/>
              <w:jc w:val="right"/>
              <w:rPr>
                <w:rFonts w:ascii="Calibri" w:eastAsia="Times New Roman" w:hAnsi="Calibri" w:cs="Times New Roman"/>
                <w:color w:val="000000"/>
                <w:sz w:val="22"/>
              </w:rPr>
            </w:pPr>
            <w:r w:rsidRPr="00B8420D">
              <w:rPr>
                <w:rFonts w:ascii="Calibri" w:eastAsia="Times New Roman" w:hAnsi="Calibri" w:cs="Times New Roman"/>
                <w:color w:val="000000"/>
                <w:sz w:val="22"/>
              </w:rPr>
              <w:t>0.069683</w:t>
            </w:r>
          </w:p>
        </w:tc>
        <w:tc>
          <w:tcPr>
            <w:tcW w:w="1360" w:type="dxa"/>
            <w:tcBorders>
              <w:top w:val="nil"/>
              <w:left w:val="nil"/>
              <w:bottom w:val="single" w:sz="4" w:space="0" w:color="auto"/>
              <w:right w:val="single" w:sz="4" w:space="0" w:color="auto"/>
            </w:tcBorders>
            <w:shd w:val="clear" w:color="auto" w:fill="auto"/>
            <w:noWrap/>
            <w:vAlign w:val="bottom"/>
            <w:hideMark/>
          </w:tcPr>
          <w:p w:rsidR="00B8420D" w:rsidRPr="00B8420D" w:rsidRDefault="00B8420D" w:rsidP="00B8420D">
            <w:pPr>
              <w:spacing w:after="0" w:line="240" w:lineRule="auto"/>
              <w:jc w:val="right"/>
              <w:rPr>
                <w:rFonts w:ascii="Calibri" w:eastAsia="Times New Roman" w:hAnsi="Calibri" w:cs="Times New Roman"/>
                <w:color w:val="000000"/>
                <w:sz w:val="22"/>
              </w:rPr>
            </w:pPr>
            <w:r w:rsidRPr="00B8420D">
              <w:rPr>
                <w:rFonts w:ascii="Calibri" w:eastAsia="Times New Roman" w:hAnsi="Calibri" w:cs="Times New Roman"/>
                <w:color w:val="000000"/>
                <w:sz w:val="22"/>
              </w:rPr>
              <w:t>1</w:t>
            </w:r>
          </w:p>
        </w:tc>
      </w:tr>
    </w:tbl>
    <w:p w:rsidR="00881CFF" w:rsidRDefault="00881CFF"/>
    <w:p w:rsidR="00993F6C" w:rsidRDefault="00881CFF" w:rsidP="00FD406A">
      <w:r>
        <w:t xml:space="preserve">In the above table, the first column shows the correlation of </w:t>
      </w:r>
      <w:r w:rsidR="00906EA5">
        <w:t>Sales</w:t>
      </w:r>
      <w:r w:rsidR="00A878B6">
        <w:t>, the dependent variable</w:t>
      </w:r>
      <w:r>
        <w:t xml:space="preserve"> with all the other independent variable.</w:t>
      </w:r>
      <w:r w:rsidR="00A878B6">
        <w:t xml:space="preserve"> All the variables have a positive correlation with </w:t>
      </w:r>
      <w:r w:rsidR="00906EA5">
        <w:t>Sales</w:t>
      </w:r>
      <w:r w:rsidR="007A0751">
        <w:t>. Shipping C</w:t>
      </w:r>
      <w:r w:rsidR="00A878B6">
        <w:t xml:space="preserve">ost and </w:t>
      </w:r>
      <w:r w:rsidR="007A0751">
        <w:t>Profit have strong correlation while Q</w:t>
      </w:r>
      <w:r w:rsidR="00A878B6">
        <w:t>uantity has the weakest correlation.</w:t>
      </w:r>
      <w:r w:rsidR="00FD406A">
        <w:t xml:space="preserve"> </w:t>
      </w:r>
      <w:r w:rsidR="00A878B6">
        <w:t>There is a strong colline</w:t>
      </w:r>
      <w:r w:rsidR="007A0751">
        <w:t>arity between Profit and Shipping C</w:t>
      </w:r>
      <w:r w:rsidR="00A878B6">
        <w:t>ost. The value is 0.</w:t>
      </w:r>
      <w:r w:rsidR="007A0751">
        <w:t>711</w:t>
      </w:r>
      <w:r w:rsidR="00A878B6">
        <w:t xml:space="preserve"> which is greater than 0.7 and hence it is sig</w:t>
      </w:r>
      <w:r w:rsidR="003438CA">
        <w:t>nificant</w:t>
      </w:r>
      <w:r w:rsidR="00FD406A">
        <w:t>.</w:t>
      </w:r>
    </w:p>
    <w:p w:rsidR="00FD406A" w:rsidRDefault="00FD406A" w:rsidP="00FD406A">
      <w:r>
        <w:t>Computing the multi-regression equation using all the independent variables. The excel output is shown below.</w:t>
      </w:r>
    </w:p>
    <w:p w:rsidR="000A0D51" w:rsidRDefault="0052501E" w:rsidP="00FD406A">
      <w:r w:rsidRPr="0052501E">
        <w:rPr>
          <w:noProof/>
        </w:rPr>
        <w:drawing>
          <wp:inline distT="0" distB="0" distL="0" distR="0">
            <wp:extent cx="5943600" cy="2945207"/>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945207"/>
                    </a:xfrm>
                    <a:prstGeom prst="rect">
                      <a:avLst/>
                    </a:prstGeom>
                    <a:noFill/>
                    <a:ln>
                      <a:noFill/>
                    </a:ln>
                  </pic:spPr>
                </pic:pic>
              </a:graphicData>
            </a:graphic>
          </wp:inline>
        </w:drawing>
      </w:r>
    </w:p>
    <w:p w:rsidR="003E68DC" w:rsidRPr="0052501E" w:rsidRDefault="0052501E" w:rsidP="00FD406A">
      <w:pPr>
        <w:rPr>
          <w:b/>
          <w:u w:val="single"/>
        </w:rPr>
      </w:pPr>
      <w:r w:rsidRPr="0052501E">
        <w:rPr>
          <w:b/>
          <w:u w:val="single"/>
        </w:rPr>
        <w:t>Interpretation:</w:t>
      </w:r>
    </w:p>
    <w:p w:rsidR="003E68DC" w:rsidRDefault="003E68DC" w:rsidP="00FD406A">
      <w:r>
        <w:t>The coefficient of variation, R</w:t>
      </w:r>
      <w:r>
        <w:rPr>
          <w:rFonts w:cs="Times New Roman"/>
        </w:rPr>
        <w:t>²</w:t>
      </w:r>
      <w:r>
        <w:t xml:space="preserve"> is 0.</w:t>
      </w:r>
      <w:r w:rsidR="007A0751">
        <w:t>9274</w:t>
      </w:r>
      <w:r>
        <w:t xml:space="preserve"> which means </w:t>
      </w:r>
      <w:r w:rsidR="007A0751">
        <w:t>92.74</w:t>
      </w:r>
      <w:r>
        <w:t xml:space="preserve">% of the variance in </w:t>
      </w:r>
      <w:r w:rsidR="007A0751">
        <w:t>Sales</w:t>
      </w:r>
      <w:r>
        <w:t xml:space="preserve"> is because of the independent variables. The regres</w:t>
      </w:r>
      <w:r w:rsidR="007A0751">
        <w:t>sion equation for predicting Sales</w:t>
      </w:r>
      <w:r>
        <w:t xml:space="preserve"> would be</w:t>
      </w:r>
    </w:p>
    <w:p w:rsidR="003E68DC" w:rsidRPr="008B000F" w:rsidRDefault="009A17B4" w:rsidP="00FD406A">
      <w:pPr>
        <w:rPr>
          <w:b/>
        </w:rPr>
      </w:pPr>
      <w:r w:rsidRPr="008B000F">
        <w:rPr>
          <w:rFonts w:cs="Times New Roman"/>
          <w:b/>
        </w:rPr>
        <w:lastRenderedPageBreak/>
        <w:t>ŷ</w:t>
      </w:r>
      <w:r w:rsidR="003E68DC" w:rsidRPr="008B000F">
        <w:rPr>
          <w:b/>
        </w:rPr>
        <w:t xml:space="preserve"> = </w:t>
      </w:r>
      <w:r w:rsidR="007A0751" w:rsidRPr="008B000F">
        <w:rPr>
          <w:b/>
        </w:rPr>
        <w:t>-27.46</w:t>
      </w:r>
      <w:r w:rsidR="003E68DC" w:rsidRPr="008B000F">
        <w:rPr>
          <w:b/>
        </w:rPr>
        <w:t xml:space="preserve"> –</w:t>
      </w:r>
      <w:r w:rsidR="007A0751" w:rsidRPr="008B000F">
        <w:rPr>
          <w:b/>
        </w:rPr>
        <w:t xml:space="preserve"> 0.13 (Profit) –</w:t>
      </w:r>
      <w:r w:rsidR="003E68DC" w:rsidRPr="008B000F">
        <w:rPr>
          <w:b/>
        </w:rPr>
        <w:t xml:space="preserve"> </w:t>
      </w:r>
      <w:r w:rsidR="007A0751" w:rsidRPr="008B000F">
        <w:rPr>
          <w:b/>
        </w:rPr>
        <w:t>6.35</w:t>
      </w:r>
      <w:r w:rsidR="003E68DC" w:rsidRPr="008B000F">
        <w:rPr>
          <w:b/>
        </w:rPr>
        <w:t xml:space="preserve"> (Quantity) + </w:t>
      </w:r>
      <w:r w:rsidR="007A0751" w:rsidRPr="008B000F">
        <w:rPr>
          <w:b/>
        </w:rPr>
        <w:t>15.05</w:t>
      </w:r>
      <w:r w:rsidR="003E68DC" w:rsidRPr="008B000F">
        <w:rPr>
          <w:b/>
        </w:rPr>
        <w:t xml:space="preserve"> (Shipping Cost)</w:t>
      </w:r>
    </w:p>
    <w:p w:rsidR="009A17B4" w:rsidRDefault="00C01A95" w:rsidP="00FD406A">
      <w:r>
        <w:t xml:space="preserve">From the above equation, Quantity and </w:t>
      </w:r>
      <w:r w:rsidR="007A0751">
        <w:t>Profit</w:t>
      </w:r>
      <w:r>
        <w:t xml:space="preserve"> are inversely related to </w:t>
      </w:r>
      <w:r w:rsidR="007A0751">
        <w:t>Sales</w:t>
      </w:r>
      <w:r>
        <w:t xml:space="preserve"> and Shipping Cost is directly related to </w:t>
      </w:r>
      <w:r w:rsidR="007A0751">
        <w:t>Sales</w:t>
      </w:r>
      <w:r>
        <w:t>. So</w:t>
      </w:r>
      <w:r w:rsidR="00E240CC">
        <w:t>,</w:t>
      </w:r>
      <w:r w:rsidR="00082797">
        <w:t xml:space="preserve"> if the Shipping C</w:t>
      </w:r>
      <w:r>
        <w:t>ost increases by 10</w:t>
      </w:r>
      <w:r w:rsidR="00E240CC">
        <w:t xml:space="preserve">0 dollars, </w:t>
      </w:r>
      <w:r w:rsidR="007A0751">
        <w:t>Sales</w:t>
      </w:r>
      <w:r w:rsidR="00E240CC">
        <w:t xml:space="preserve"> increases by </w:t>
      </w:r>
      <w:r w:rsidR="007A0751">
        <w:t>15</w:t>
      </w:r>
      <w:r w:rsidR="00E240CC">
        <w:t>0</w:t>
      </w:r>
      <w:r w:rsidR="007A0751">
        <w:t>5</w:t>
      </w:r>
      <w:r w:rsidR="00E240CC">
        <w:t xml:space="preserve"> dollars</w:t>
      </w:r>
      <w:r>
        <w:t xml:space="preserve">. </w:t>
      </w:r>
      <w:r w:rsidR="00082797">
        <w:t>But if</w:t>
      </w:r>
      <w:r>
        <w:t xml:space="preserve"> </w:t>
      </w:r>
      <w:r w:rsidR="00082797">
        <w:t>Quantity</w:t>
      </w:r>
      <w:r>
        <w:t xml:space="preserve"> </w:t>
      </w:r>
      <w:r w:rsidR="00082797">
        <w:t xml:space="preserve">or </w:t>
      </w:r>
      <w:r w:rsidR="00E240CC">
        <w:t xml:space="preserve">Profit </w:t>
      </w:r>
      <w:r w:rsidR="00082797">
        <w:t>in</w:t>
      </w:r>
      <w:r w:rsidR="00E240CC">
        <w:t>creases</w:t>
      </w:r>
      <w:r w:rsidR="00082797">
        <w:t>, Sales decreases</w:t>
      </w:r>
      <w:r w:rsidR="00E240CC">
        <w:t xml:space="preserve"> according to the equation.</w:t>
      </w:r>
    </w:p>
    <w:p w:rsidR="00E240CC" w:rsidRDefault="00E240CC" w:rsidP="00FD406A">
      <w:r w:rsidRPr="008B000F">
        <w:rPr>
          <w:b/>
        </w:rPr>
        <w:t>The global hypothesis test</w:t>
      </w:r>
      <w:r>
        <w:t xml:space="preserve"> is conducted to see if any of the regression coefficients are different from 0 at 0.05 significance level.</w:t>
      </w:r>
    </w:p>
    <w:p w:rsidR="00E240CC" w:rsidRDefault="00E240CC" w:rsidP="00FD406A">
      <w:pPr>
        <w:rPr>
          <w:rFonts w:ascii="Calibri" w:hAnsi="Calibri"/>
        </w:rPr>
      </w:pPr>
      <w:r>
        <w:t>H</w:t>
      </w:r>
      <w:r>
        <w:rPr>
          <w:rFonts w:ascii="Calibri" w:hAnsi="Calibri"/>
        </w:rPr>
        <w:t>₀</w:t>
      </w:r>
      <w:r>
        <w:t>:</w:t>
      </w:r>
      <w:r w:rsidR="0050342A">
        <w:t xml:space="preserve"> </w:t>
      </w:r>
      <w:r>
        <w:rPr>
          <w:rFonts w:ascii="Calibri" w:hAnsi="Calibri"/>
        </w:rPr>
        <w:t>β</w:t>
      </w:r>
      <w:r w:rsidR="0050342A">
        <w:rPr>
          <w:rFonts w:ascii="Calibri" w:hAnsi="Calibri"/>
        </w:rPr>
        <w:t>₁</w:t>
      </w:r>
      <w:r w:rsidR="0050342A">
        <w:t>=</w:t>
      </w:r>
      <w:r w:rsidR="0050342A">
        <w:rPr>
          <w:rFonts w:ascii="Calibri" w:hAnsi="Calibri"/>
        </w:rPr>
        <w:t>β₂=β₃</w:t>
      </w:r>
    </w:p>
    <w:p w:rsidR="0050342A" w:rsidRDefault="0050342A" w:rsidP="00FD406A">
      <w:pPr>
        <w:rPr>
          <w:rFonts w:ascii="Calibri" w:hAnsi="Calibri"/>
        </w:rPr>
      </w:pPr>
      <w:r>
        <w:rPr>
          <w:rFonts w:ascii="Calibri" w:hAnsi="Calibri"/>
        </w:rPr>
        <w:t>H₁: β₁</w:t>
      </w:r>
      <w:r w:rsidR="00A160D7">
        <w:rPr>
          <w:rFonts w:ascii="Calibri" w:hAnsi="Calibri"/>
        </w:rPr>
        <w:t>≠</w:t>
      </w:r>
      <w:r>
        <w:rPr>
          <w:rFonts w:ascii="Calibri" w:hAnsi="Calibri"/>
        </w:rPr>
        <w:t>β₂</w:t>
      </w:r>
      <w:r w:rsidR="00A160D7">
        <w:rPr>
          <w:rFonts w:ascii="Calibri" w:hAnsi="Calibri"/>
        </w:rPr>
        <w:t>≠</w:t>
      </w:r>
      <w:r>
        <w:rPr>
          <w:rFonts w:ascii="Calibri" w:hAnsi="Calibri"/>
        </w:rPr>
        <w:t>β₃</w:t>
      </w:r>
    </w:p>
    <w:p w:rsidR="006473D8" w:rsidRDefault="00A160D7" w:rsidP="00FD406A">
      <w:pPr>
        <w:rPr>
          <w:rFonts w:cs="Times New Roman"/>
        </w:rPr>
      </w:pPr>
      <w:r>
        <w:rPr>
          <w:rFonts w:cs="Times New Roman"/>
        </w:rPr>
        <w:t>Decision rule is to reject H</w:t>
      </w:r>
      <w:r>
        <w:rPr>
          <w:rFonts w:ascii="Calibri" w:hAnsi="Calibri"/>
        </w:rPr>
        <w:t>₀</w:t>
      </w:r>
      <w:r>
        <w:rPr>
          <w:rFonts w:cs="Times New Roman"/>
        </w:rPr>
        <w:t xml:space="preserve"> if p value is less than 0.05. From the ANOVA table above, significance of F is 0 and so </w:t>
      </w:r>
      <w:r w:rsidRPr="008B000F">
        <w:rPr>
          <w:rFonts w:cs="Times New Roman"/>
          <w:b/>
        </w:rPr>
        <w:t>H</w:t>
      </w:r>
      <w:r w:rsidRPr="008B000F">
        <w:rPr>
          <w:rFonts w:ascii="Calibri" w:hAnsi="Calibri"/>
          <w:b/>
        </w:rPr>
        <w:t xml:space="preserve">₀ </w:t>
      </w:r>
      <w:r w:rsidRPr="008B000F">
        <w:rPr>
          <w:rFonts w:cs="Times New Roman"/>
          <w:b/>
        </w:rPr>
        <w:t xml:space="preserve">is rejected </w:t>
      </w:r>
      <w:r>
        <w:rPr>
          <w:rFonts w:cs="Times New Roman"/>
        </w:rPr>
        <w:t>which means at</w:t>
      </w:r>
      <w:r w:rsidR="00CC483C">
        <w:rPr>
          <w:rFonts w:cs="Times New Roman"/>
        </w:rPr>
        <w:t xml:space="preserve"> </w:t>
      </w:r>
      <w:r>
        <w:rPr>
          <w:rFonts w:cs="Times New Roman"/>
        </w:rPr>
        <w:t>least one of the regression coefficients is not equal to 0.</w:t>
      </w:r>
      <w:r w:rsidR="00CC483C">
        <w:rPr>
          <w:rFonts w:cs="Times New Roman"/>
        </w:rPr>
        <w:t xml:space="preserve"> The individual correlation coef</w:t>
      </w:r>
      <w:r>
        <w:rPr>
          <w:rFonts w:cs="Times New Roman"/>
        </w:rPr>
        <w:t xml:space="preserve">ficients </w:t>
      </w:r>
      <w:r w:rsidR="00CC483C">
        <w:rPr>
          <w:rFonts w:cs="Times New Roman"/>
        </w:rPr>
        <w:t>for each independent variable</w:t>
      </w:r>
      <w:r>
        <w:rPr>
          <w:rFonts w:cs="Times New Roman"/>
        </w:rPr>
        <w:t xml:space="preserve"> are given in the column P-value. From the values, only </w:t>
      </w:r>
      <w:r w:rsidR="00CC483C" w:rsidRPr="008B000F">
        <w:rPr>
          <w:rFonts w:cs="Times New Roman"/>
          <w:b/>
        </w:rPr>
        <w:t xml:space="preserve">Shipping </w:t>
      </w:r>
      <w:r w:rsidR="00082797" w:rsidRPr="008B000F">
        <w:rPr>
          <w:rFonts w:cs="Times New Roman"/>
          <w:b/>
        </w:rPr>
        <w:t>C</w:t>
      </w:r>
      <w:r w:rsidR="00CC483C" w:rsidRPr="008B000F">
        <w:rPr>
          <w:rFonts w:cs="Times New Roman"/>
          <w:b/>
        </w:rPr>
        <w:t>ost has a p-value less than 0.05 which means it is the only</w:t>
      </w:r>
      <w:r w:rsidR="00082797" w:rsidRPr="008B000F">
        <w:rPr>
          <w:rFonts w:cs="Times New Roman"/>
          <w:b/>
        </w:rPr>
        <w:t xml:space="preserve"> significant predictor of Sales</w:t>
      </w:r>
      <w:r w:rsidR="00CC483C">
        <w:rPr>
          <w:rFonts w:cs="Times New Roman"/>
        </w:rPr>
        <w:t>.</w:t>
      </w:r>
      <w:r w:rsidR="00187E45">
        <w:rPr>
          <w:rFonts w:cs="Times New Roman"/>
        </w:rPr>
        <w:t xml:space="preserve"> </w:t>
      </w:r>
      <w:r w:rsidR="00187E45" w:rsidRPr="008B000F">
        <w:rPr>
          <w:rFonts w:cs="Times New Roman"/>
          <w:b/>
        </w:rPr>
        <w:t>So</w:t>
      </w:r>
      <w:r w:rsidR="006473D8" w:rsidRPr="008B000F">
        <w:rPr>
          <w:rFonts w:cs="Times New Roman"/>
          <w:b/>
        </w:rPr>
        <w:t>,</w:t>
      </w:r>
      <w:r w:rsidR="00187E45" w:rsidRPr="008B000F">
        <w:rPr>
          <w:rFonts w:cs="Times New Roman"/>
          <w:b/>
        </w:rPr>
        <w:t xml:space="preserve"> </w:t>
      </w:r>
      <w:r w:rsidR="00082797" w:rsidRPr="008B000F">
        <w:rPr>
          <w:rFonts w:cs="Times New Roman"/>
          <w:b/>
        </w:rPr>
        <w:t>the variables</w:t>
      </w:r>
      <w:r w:rsidR="00082797">
        <w:rPr>
          <w:rFonts w:cs="Times New Roman"/>
        </w:rPr>
        <w:t xml:space="preserve"> </w:t>
      </w:r>
      <w:r w:rsidR="00187E45" w:rsidRPr="008B000F">
        <w:rPr>
          <w:rFonts w:cs="Times New Roman"/>
          <w:b/>
        </w:rPr>
        <w:t xml:space="preserve">Quantity and </w:t>
      </w:r>
      <w:r w:rsidR="00082797" w:rsidRPr="008B000F">
        <w:rPr>
          <w:rFonts w:cs="Times New Roman"/>
          <w:b/>
        </w:rPr>
        <w:t>Profit</w:t>
      </w:r>
      <w:r w:rsidR="00187E45" w:rsidRPr="008B000F">
        <w:rPr>
          <w:rFonts w:cs="Times New Roman"/>
          <w:b/>
        </w:rPr>
        <w:t xml:space="preserve"> can be </w:t>
      </w:r>
      <w:r w:rsidR="006473D8" w:rsidRPr="008B000F">
        <w:rPr>
          <w:rFonts w:cs="Times New Roman"/>
          <w:b/>
        </w:rPr>
        <w:t>removed as they are not signi</w:t>
      </w:r>
      <w:r w:rsidR="00082797" w:rsidRPr="008B000F">
        <w:rPr>
          <w:rFonts w:cs="Times New Roman"/>
          <w:b/>
        </w:rPr>
        <w:t>ficant predictors of Sales</w:t>
      </w:r>
      <w:r w:rsidR="006473D8">
        <w:rPr>
          <w:rFonts w:cs="Times New Roman"/>
        </w:rPr>
        <w:t>.</w:t>
      </w:r>
    </w:p>
    <w:p w:rsidR="006473D8" w:rsidRDefault="006473D8" w:rsidP="00FD406A">
      <w:pPr>
        <w:rPr>
          <w:rFonts w:cs="Times New Roman"/>
        </w:rPr>
      </w:pPr>
      <w:r>
        <w:rPr>
          <w:rFonts w:cs="Times New Roman"/>
        </w:rPr>
        <w:t>The regression analysis output for the new regression equation is shown below</w:t>
      </w:r>
    </w:p>
    <w:p w:rsidR="0052501E" w:rsidRDefault="0052501E" w:rsidP="00FD406A">
      <w:pPr>
        <w:rPr>
          <w:rFonts w:cs="Times New Roman"/>
        </w:rPr>
      </w:pPr>
      <w:r w:rsidRPr="0052501E">
        <w:rPr>
          <w:noProof/>
        </w:rPr>
        <w:drawing>
          <wp:inline distT="0" distB="0" distL="0" distR="0">
            <wp:extent cx="5943600" cy="25596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559604"/>
                    </a:xfrm>
                    <a:prstGeom prst="rect">
                      <a:avLst/>
                    </a:prstGeom>
                    <a:noFill/>
                    <a:ln>
                      <a:noFill/>
                    </a:ln>
                  </pic:spPr>
                </pic:pic>
              </a:graphicData>
            </a:graphic>
          </wp:inline>
        </w:drawing>
      </w:r>
    </w:p>
    <w:p w:rsidR="00095474" w:rsidRDefault="00082797" w:rsidP="00FD406A">
      <w:pPr>
        <w:rPr>
          <w:rFonts w:cs="Times New Roman"/>
        </w:rPr>
      </w:pPr>
      <w:r>
        <w:rPr>
          <w:rFonts w:cs="Times New Roman"/>
        </w:rPr>
        <w:t xml:space="preserve">R² </w:t>
      </w:r>
      <w:r w:rsidR="00776A5C">
        <w:rPr>
          <w:rFonts w:cs="Times New Roman"/>
        </w:rPr>
        <w:t>and Adjusted R²</w:t>
      </w:r>
      <w:r w:rsidR="00A24A77">
        <w:rPr>
          <w:rFonts w:cs="Times New Roman"/>
        </w:rPr>
        <w:t xml:space="preserve"> have</w:t>
      </w:r>
      <w:r>
        <w:rPr>
          <w:rFonts w:cs="Times New Roman"/>
        </w:rPr>
        <w:t xml:space="preserve"> changed slightly after removing the variables Profit and Quantity which again indicates that they </w:t>
      </w:r>
      <w:r w:rsidR="00A24A77">
        <w:rPr>
          <w:rFonts w:cs="Times New Roman"/>
        </w:rPr>
        <w:t>are</w:t>
      </w:r>
      <w:r>
        <w:rPr>
          <w:rFonts w:cs="Times New Roman"/>
        </w:rPr>
        <w:t xml:space="preserve"> not the significant predictors of Sales. The p-value for Shipping cost is less than 0 which indicates the significance of Shipping Cost.</w:t>
      </w:r>
    </w:p>
    <w:p w:rsidR="00A24A77" w:rsidRPr="00A24A77" w:rsidRDefault="00095474" w:rsidP="00FD406A">
      <w:pPr>
        <w:rPr>
          <w:rFonts w:cs="Times New Roman"/>
          <w:b/>
        </w:rPr>
      </w:pPr>
      <w:r>
        <w:rPr>
          <w:rFonts w:cs="Times New Roman"/>
        </w:rPr>
        <w:t>So</w:t>
      </w:r>
      <w:r w:rsidR="008B000F">
        <w:rPr>
          <w:rFonts w:cs="Times New Roman"/>
        </w:rPr>
        <w:t>,</w:t>
      </w:r>
      <w:r>
        <w:rPr>
          <w:rFonts w:cs="Times New Roman"/>
        </w:rPr>
        <w:t xml:space="preserve"> </w:t>
      </w:r>
      <w:r w:rsidRPr="008B000F">
        <w:rPr>
          <w:rFonts w:cs="Times New Roman"/>
          <w:b/>
        </w:rPr>
        <w:t xml:space="preserve">the final regression equation is </w:t>
      </w:r>
      <w:r w:rsidRPr="00A24A77">
        <w:rPr>
          <w:rFonts w:cs="Times New Roman"/>
          <w:b/>
          <w:highlight w:val="yellow"/>
        </w:rPr>
        <w:t xml:space="preserve">ŷ = </w:t>
      </w:r>
      <w:r w:rsidR="00A24A77">
        <w:rPr>
          <w:rFonts w:cs="Times New Roman"/>
          <w:b/>
          <w:highlight w:val="yellow"/>
        </w:rPr>
        <w:t xml:space="preserve">14.75 (x) </w:t>
      </w:r>
      <w:r w:rsidRPr="00A24A77">
        <w:rPr>
          <w:rFonts w:cs="Times New Roman"/>
          <w:b/>
          <w:highlight w:val="yellow"/>
        </w:rPr>
        <w:t>- 47.75</w:t>
      </w:r>
      <w:r w:rsidR="00A24A77">
        <w:rPr>
          <w:rFonts w:cs="Times New Roman"/>
        </w:rPr>
        <w:t xml:space="preserve"> Or </w:t>
      </w:r>
      <w:r w:rsidR="00A24A77" w:rsidRPr="00A24A77">
        <w:rPr>
          <w:rFonts w:cs="Times New Roman"/>
          <w:b/>
          <w:highlight w:val="yellow"/>
        </w:rPr>
        <w:t>Sales = 14.75 (Shipping Cost) – 47.75</w:t>
      </w:r>
    </w:p>
    <w:p w:rsidR="00095474" w:rsidRDefault="00095474" w:rsidP="00FD406A">
      <w:pPr>
        <w:rPr>
          <w:rFonts w:cs="Times New Roman"/>
        </w:rPr>
      </w:pPr>
      <w:r>
        <w:rPr>
          <w:noProof/>
        </w:rPr>
        <w:lastRenderedPageBreak/>
        <w:drawing>
          <wp:inline distT="0" distB="0" distL="0" distR="0" wp14:anchorId="4EC948EF" wp14:editId="1AFFE1F4">
            <wp:extent cx="4572000" cy="2743200"/>
            <wp:effectExtent l="0" t="0" r="0" b="0"/>
            <wp:docPr id="1" name="Chart 1">
              <a:extLst xmlns:a="http://schemas.openxmlformats.org/drawingml/2006/main">
                <a:ext uri="{FF2B5EF4-FFF2-40B4-BE49-F238E27FC236}">
                  <a16:creationId xmlns:a16="http://schemas.microsoft.com/office/drawing/2014/main" id="{76974D73-E80B-4E38-AC8D-9C02A9D14F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rsidR="00095474" w:rsidRDefault="00095474" w:rsidP="00FD406A">
      <w:pPr>
        <w:rPr>
          <w:rFonts w:cs="Times New Roman"/>
        </w:rPr>
      </w:pPr>
      <w:r>
        <w:rPr>
          <w:rFonts w:cs="Times New Roman"/>
        </w:rPr>
        <w:t>The above scatterplot of Sales vs Shipping Cost shows an increasing trend. Sales increases as the Shipping Cost increases and so the relation is linear.</w:t>
      </w:r>
    </w:p>
    <w:p w:rsidR="009E72D0" w:rsidRDefault="009E72D0" w:rsidP="00FD406A">
      <w:pPr>
        <w:rPr>
          <w:rFonts w:cs="Times New Roman"/>
        </w:rPr>
      </w:pPr>
    </w:p>
    <w:p w:rsidR="00AE7B5C" w:rsidRDefault="00AE7B5C" w:rsidP="00FD406A">
      <w:pPr>
        <w:rPr>
          <w:rFonts w:cs="Times New Roman"/>
        </w:rPr>
      </w:pPr>
      <w:r>
        <w:rPr>
          <w:noProof/>
        </w:rPr>
        <w:drawing>
          <wp:inline distT="0" distB="0" distL="0" distR="0" wp14:anchorId="6B6A1817" wp14:editId="6F9FC936">
            <wp:extent cx="5669280" cy="3489960"/>
            <wp:effectExtent l="0" t="0" r="7620" b="15240"/>
            <wp:docPr id="4" name="Chart 4">
              <a:extLst xmlns:a="http://schemas.openxmlformats.org/drawingml/2006/main">
                <a:ext uri="{FF2B5EF4-FFF2-40B4-BE49-F238E27FC236}">
                  <a16:creationId xmlns:a16="http://schemas.microsoft.com/office/drawing/2014/main" id="{6CB4A943-E87E-42A5-B4A6-1502F9D994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AE7B5C" w:rsidRDefault="00AE7B5C" w:rsidP="00FD406A">
      <w:pPr>
        <w:rPr>
          <w:rFonts w:cs="Times New Roman"/>
        </w:rPr>
      </w:pPr>
      <w:r>
        <w:rPr>
          <w:rFonts w:cs="Times New Roman"/>
        </w:rPr>
        <w:t>The above scatterplot shows the plot of residuals (difference between actual Sales and predicted Sales). The distribution shows an equal proportion of positive and negative residuals which indicates that the assumption of linear relation is reasonable.</w:t>
      </w:r>
    </w:p>
    <w:p w:rsidR="000E48E0" w:rsidRDefault="000E48E0" w:rsidP="00FD406A">
      <w:pPr>
        <w:rPr>
          <w:rFonts w:cs="Times New Roman"/>
        </w:rPr>
      </w:pPr>
      <w:r>
        <w:rPr>
          <w:noProof/>
        </w:rPr>
        <w:lastRenderedPageBreak/>
        <w:drawing>
          <wp:inline distT="0" distB="0" distL="0" distR="0" wp14:anchorId="2F06834E" wp14:editId="0E565825">
            <wp:extent cx="5638800" cy="3268980"/>
            <wp:effectExtent l="0" t="0" r="0" b="7620"/>
            <wp:docPr id="5" name="Chart 5">
              <a:extLst xmlns:a="http://schemas.openxmlformats.org/drawingml/2006/main">
                <a:ext uri="{FF2B5EF4-FFF2-40B4-BE49-F238E27FC236}">
                  <a16:creationId xmlns:a16="http://schemas.microsoft.com/office/drawing/2014/main" id="{90819333-675A-4AFF-AFEB-B9C3C286BE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9E72D0" w:rsidRDefault="009E72D0" w:rsidP="00FD406A">
      <w:pPr>
        <w:rPr>
          <w:rFonts w:cs="Times New Roman"/>
        </w:rPr>
      </w:pPr>
    </w:p>
    <w:p w:rsidR="000E48E0" w:rsidRDefault="00E9173E" w:rsidP="00FD406A">
      <w:pPr>
        <w:rPr>
          <w:rFonts w:cs="Times New Roman"/>
        </w:rPr>
      </w:pPr>
      <w:r>
        <w:rPr>
          <w:rFonts w:cs="Times New Roman"/>
        </w:rPr>
        <w:t>The histogram above also shows that the data is normally distributed as majority of observations are in the middle.</w:t>
      </w:r>
    </w:p>
    <w:p w:rsidR="00E9173E" w:rsidRDefault="00E9173E" w:rsidP="00FD406A">
      <w:pPr>
        <w:rPr>
          <w:rFonts w:cs="Times New Roman"/>
        </w:rPr>
      </w:pPr>
    </w:p>
    <w:p w:rsidR="000E48E0" w:rsidRDefault="000E48E0" w:rsidP="00FD406A">
      <w:pPr>
        <w:rPr>
          <w:rFonts w:cs="Times New Roman"/>
        </w:rPr>
      </w:pPr>
      <w:r>
        <w:rPr>
          <w:noProof/>
        </w:rPr>
        <w:drawing>
          <wp:inline distT="0" distB="0" distL="0" distR="0" wp14:anchorId="53337C24" wp14:editId="792E5135">
            <wp:extent cx="4572000" cy="2743200"/>
            <wp:effectExtent l="0" t="0" r="0" b="0"/>
            <wp:docPr id="6" name="Chart 6">
              <a:extLst xmlns:a="http://schemas.openxmlformats.org/drawingml/2006/main">
                <a:ext uri="{FF2B5EF4-FFF2-40B4-BE49-F238E27FC236}">
                  <a16:creationId xmlns:a16="http://schemas.microsoft.com/office/drawing/2014/main" id="{3479E157-2465-49F0-AD4E-2DA322CE21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E9173E" w:rsidRDefault="00E9173E" w:rsidP="00FD406A">
      <w:pPr>
        <w:rPr>
          <w:rFonts w:cs="Times New Roman"/>
        </w:rPr>
      </w:pPr>
      <w:r>
        <w:rPr>
          <w:rFonts w:cs="Times New Roman"/>
        </w:rPr>
        <w:t xml:space="preserve">The above diagram shows the normal probability plot for Sales. For the distribution to follow normal distribution, the dots </w:t>
      </w:r>
      <w:r w:rsidR="00906C87">
        <w:rPr>
          <w:rFonts w:cs="Times New Roman"/>
        </w:rPr>
        <w:t xml:space="preserve">which shows the cumulative distribution of residuals, </w:t>
      </w:r>
      <w:r>
        <w:rPr>
          <w:rFonts w:cs="Times New Roman"/>
        </w:rPr>
        <w:t>should be closer to the line</w:t>
      </w:r>
      <w:r w:rsidR="00906C87">
        <w:rPr>
          <w:rFonts w:cs="Times New Roman"/>
        </w:rPr>
        <w:t xml:space="preserve">. In the above diagram, most of the plots are closer to the line. </w:t>
      </w:r>
    </w:p>
    <w:p w:rsidR="009E72D0" w:rsidRDefault="009E72D0" w:rsidP="00FD406A">
      <w:pPr>
        <w:rPr>
          <w:rFonts w:cs="Times New Roman"/>
          <w:b/>
          <w:u w:val="single"/>
        </w:rPr>
      </w:pPr>
    </w:p>
    <w:p w:rsidR="009E72D0" w:rsidRPr="009E72D0" w:rsidRDefault="009E72D0" w:rsidP="00FD406A">
      <w:pPr>
        <w:rPr>
          <w:rFonts w:cs="Times New Roman"/>
          <w:b/>
          <w:u w:val="single"/>
        </w:rPr>
      </w:pPr>
      <w:bookmarkStart w:id="0" w:name="_GoBack"/>
      <w:bookmarkEnd w:id="0"/>
      <w:r w:rsidRPr="009E72D0">
        <w:rPr>
          <w:rFonts w:cs="Times New Roman"/>
          <w:b/>
          <w:u w:val="single"/>
        </w:rPr>
        <w:lastRenderedPageBreak/>
        <w:t>Summary</w:t>
      </w:r>
    </w:p>
    <w:p w:rsidR="00172727" w:rsidRDefault="00906C87" w:rsidP="00FD406A">
      <w:pPr>
        <w:rPr>
          <w:rFonts w:cs="Times New Roman"/>
        </w:rPr>
      </w:pPr>
      <w:r>
        <w:rPr>
          <w:rFonts w:cs="Times New Roman"/>
        </w:rPr>
        <w:t>The conclusion is that</w:t>
      </w:r>
      <w:r w:rsidR="008B000F">
        <w:rPr>
          <w:rFonts w:cs="Times New Roman"/>
        </w:rPr>
        <w:t xml:space="preserve"> </w:t>
      </w:r>
      <w:r w:rsidR="00776A5C">
        <w:rPr>
          <w:rFonts w:cs="Times New Roman"/>
        </w:rPr>
        <w:t xml:space="preserve">Sales </w:t>
      </w:r>
      <w:r w:rsidR="008B000F">
        <w:rPr>
          <w:rFonts w:cs="Times New Roman"/>
        </w:rPr>
        <w:t>data is normally distributed with a</w:t>
      </w:r>
      <w:r>
        <w:rPr>
          <w:rFonts w:cs="Times New Roman"/>
        </w:rPr>
        <w:t xml:space="preserve"> linear relat</w:t>
      </w:r>
      <w:r w:rsidR="008B000F">
        <w:rPr>
          <w:rFonts w:cs="Times New Roman"/>
        </w:rPr>
        <w:t xml:space="preserve">ion </w:t>
      </w:r>
      <w:r w:rsidR="00776A5C">
        <w:rPr>
          <w:rFonts w:cs="Times New Roman"/>
        </w:rPr>
        <w:t>with</w:t>
      </w:r>
      <w:r w:rsidR="008B000F">
        <w:rPr>
          <w:rFonts w:cs="Times New Roman"/>
        </w:rPr>
        <w:t xml:space="preserve"> </w:t>
      </w:r>
      <w:r>
        <w:rPr>
          <w:rFonts w:cs="Times New Roman"/>
        </w:rPr>
        <w:t>Shipping Cost</w:t>
      </w:r>
      <w:r w:rsidR="00776A5C">
        <w:rPr>
          <w:rFonts w:cs="Times New Roman"/>
        </w:rPr>
        <w:t>. As the Shipping Cost increases the Sales also increases</w:t>
      </w:r>
      <w:r w:rsidR="008B000F">
        <w:rPr>
          <w:rFonts w:cs="Times New Roman"/>
        </w:rPr>
        <w:t xml:space="preserve"> and the linear regression equation to predict Sales</w:t>
      </w:r>
      <w:r w:rsidR="000C4A66">
        <w:rPr>
          <w:rFonts w:cs="Times New Roman"/>
        </w:rPr>
        <w:t xml:space="preserve"> is </w:t>
      </w:r>
      <w:r w:rsidR="000C4A66" w:rsidRPr="000C4A66">
        <w:rPr>
          <w:rFonts w:cs="Times New Roman"/>
          <w:b/>
          <w:highlight w:val="yellow"/>
        </w:rPr>
        <w:t>Sales =</w:t>
      </w:r>
      <w:r w:rsidR="008B000F" w:rsidRPr="000C4A66">
        <w:rPr>
          <w:rFonts w:cs="Times New Roman"/>
          <w:b/>
          <w:highlight w:val="yellow"/>
        </w:rPr>
        <w:t xml:space="preserve"> 14.75 (Shipping Cost) - 47.75</w:t>
      </w:r>
    </w:p>
    <w:p w:rsidR="00172727" w:rsidRDefault="00A70C28" w:rsidP="00FD406A">
      <w:pPr>
        <w:rPr>
          <w:rFonts w:cs="Times New Roman"/>
        </w:rPr>
      </w:pPr>
      <w:r>
        <w:rPr>
          <w:rFonts w:cs="Times New Roman"/>
        </w:rPr>
        <w:t xml:space="preserve">Reference dataset and </w:t>
      </w:r>
      <w:r w:rsidR="0010336C">
        <w:rPr>
          <w:rFonts w:cs="Times New Roman"/>
        </w:rPr>
        <w:t xml:space="preserve">the work sheet is attached here </w:t>
      </w:r>
    </w:p>
    <w:p w:rsidR="00A70C28" w:rsidRPr="00A160D7" w:rsidRDefault="000C4A66" w:rsidP="00FD406A">
      <w:pPr>
        <w:rPr>
          <w:rFonts w:cs="Times New Roman"/>
        </w:rPr>
      </w:pPr>
      <w:r>
        <w:rPr>
          <w:rFonts w:cs="Times New Roman"/>
        </w:rPr>
        <w:object w:dxaOrig="1520" w:dyaOrig="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11" o:title=""/>
          </v:shape>
          <o:OLEObject Type="Embed" ProgID="Excel.Sheet.12" ShapeID="_x0000_i1025" DrawAspect="Icon" ObjectID="_1603730835" r:id="rId12"/>
        </w:object>
      </w:r>
    </w:p>
    <w:sectPr w:rsidR="00A70C28" w:rsidRPr="00A160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CFF"/>
    <w:rsid w:val="00082797"/>
    <w:rsid w:val="00095474"/>
    <w:rsid w:val="000A0D51"/>
    <w:rsid w:val="000C4A66"/>
    <w:rsid w:val="000E48E0"/>
    <w:rsid w:val="0010336C"/>
    <w:rsid w:val="00172727"/>
    <w:rsid w:val="00187E45"/>
    <w:rsid w:val="00276C52"/>
    <w:rsid w:val="003438CA"/>
    <w:rsid w:val="0036363E"/>
    <w:rsid w:val="003E68DC"/>
    <w:rsid w:val="00486E8B"/>
    <w:rsid w:val="004E4207"/>
    <w:rsid w:val="0050342A"/>
    <w:rsid w:val="0052501E"/>
    <w:rsid w:val="005F77D6"/>
    <w:rsid w:val="006473D8"/>
    <w:rsid w:val="006A4260"/>
    <w:rsid w:val="006F11D9"/>
    <w:rsid w:val="006F63D3"/>
    <w:rsid w:val="00776A5C"/>
    <w:rsid w:val="007A0751"/>
    <w:rsid w:val="00881CFF"/>
    <w:rsid w:val="008B000F"/>
    <w:rsid w:val="00906C87"/>
    <w:rsid w:val="00906EA5"/>
    <w:rsid w:val="00931BDF"/>
    <w:rsid w:val="009668C4"/>
    <w:rsid w:val="00993F6C"/>
    <w:rsid w:val="009A17B4"/>
    <w:rsid w:val="009E72D0"/>
    <w:rsid w:val="00A160D7"/>
    <w:rsid w:val="00A24A77"/>
    <w:rsid w:val="00A70C28"/>
    <w:rsid w:val="00A878B6"/>
    <w:rsid w:val="00AE7B5C"/>
    <w:rsid w:val="00B05062"/>
    <w:rsid w:val="00B1288B"/>
    <w:rsid w:val="00B55D0E"/>
    <w:rsid w:val="00B8420D"/>
    <w:rsid w:val="00BA7465"/>
    <w:rsid w:val="00C01A95"/>
    <w:rsid w:val="00C87281"/>
    <w:rsid w:val="00CC483C"/>
    <w:rsid w:val="00D4719B"/>
    <w:rsid w:val="00E240CC"/>
    <w:rsid w:val="00E71ED6"/>
    <w:rsid w:val="00E9173E"/>
    <w:rsid w:val="00FD40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58BD1"/>
  <w15:chartTrackingRefBased/>
  <w15:docId w15:val="{CB68F082-B891-496E-9F1C-7DE983777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6F63D3"/>
    <w:rPr>
      <w:sz w:val="16"/>
      <w:szCs w:val="16"/>
    </w:rPr>
  </w:style>
  <w:style w:type="paragraph" w:styleId="CommentText">
    <w:name w:val="annotation text"/>
    <w:basedOn w:val="Normal"/>
    <w:link w:val="CommentTextChar"/>
    <w:uiPriority w:val="99"/>
    <w:semiHidden/>
    <w:unhideWhenUsed/>
    <w:rsid w:val="006F63D3"/>
    <w:pPr>
      <w:spacing w:line="240" w:lineRule="auto"/>
    </w:pPr>
    <w:rPr>
      <w:sz w:val="20"/>
      <w:szCs w:val="20"/>
    </w:rPr>
  </w:style>
  <w:style w:type="character" w:customStyle="1" w:styleId="CommentTextChar">
    <w:name w:val="Comment Text Char"/>
    <w:basedOn w:val="DefaultParagraphFont"/>
    <w:link w:val="CommentText"/>
    <w:uiPriority w:val="99"/>
    <w:semiHidden/>
    <w:rsid w:val="006F63D3"/>
    <w:rPr>
      <w:sz w:val="20"/>
      <w:szCs w:val="20"/>
    </w:rPr>
  </w:style>
  <w:style w:type="paragraph" w:styleId="CommentSubject">
    <w:name w:val="annotation subject"/>
    <w:basedOn w:val="CommentText"/>
    <w:next w:val="CommentText"/>
    <w:link w:val="CommentSubjectChar"/>
    <w:uiPriority w:val="99"/>
    <w:semiHidden/>
    <w:unhideWhenUsed/>
    <w:rsid w:val="006F63D3"/>
    <w:rPr>
      <w:b/>
      <w:bCs/>
    </w:rPr>
  </w:style>
  <w:style w:type="character" w:customStyle="1" w:styleId="CommentSubjectChar">
    <w:name w:val="Comment Subject Char"/>
    <w:basedOn w:val="CommentTextChar"/>
    <w:link w:val="CommentSubject"/>
    <w:uiPriority w:val="99"/>
    <w:semiHidden/>
    <w:rsid w:val="006F63D3"/>
    <w:rPr>
      <w:b/>
      <w:bCs/>
      <w:sz w:val="20"/>
      <w:szCs w:val="20"/>
    </w:rPr>
  </w:style>
  <w:style w:type="paragraph" w:styleId="BalloonText">
    <w:name w:val="Balloon Text"/>
    <w:basedOn w:val="Normal"/>
    <w:link w:val="BalloonTextChar"/>
    <w:uiPriority w:val="99"/>
    <w:semiHidden/>
    <w:unhideWhenUsed/>
    <w:rsid w:val="006F63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63D3"/>
    <w:rPr>
      <w:rFonts w:ascii="Segoe UI" w:hAnsi="Segoe UI" w:cs="Segoe UI"/>
      <w:sz w:val="18"/>
      <w:szCs w:val="18"/>
    </w:rPr>
  </w:style>
  <w:style w:type="character" w:styleId="Hyperlink">
    <w:name w:val="Hyperlink"/>
    <w:basedOn w:val="DefaultParagraphFont"/>
    <w:uiPriority w:val="99"/>
    <w:unhideWhenUsed/>
    <w:rsid w:val="0010336C"/>
    <w:rPr>
      <w:color w:val="0563C1" w:themeColor="hyperlink"/>
      <w:u w:val="single"/>
    </w:rPr>
  </w:style>
  <w:style w:type="character" w:styleId="UnresolvedMention">
    <w:name w:val="Unresolved Mention"/>
    <w:basedOn w:val="DefaultParagraphFont"/>
    <w:uiPriority w:val="99"/>
    <w:semiHidden/>
    <w:unhideWhenUsed/>
    <w:rsid w:val="0010336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944954">
      <w:bodyDiv w:val="1"/>
      <w:marLeft w:val="0"/>
      <w:marRight w:val="0"/>
      <w:marTop w:val="0"/>
      <w:marBottom w:val="0"/>
      <w:divBdr>
        <w:top w:val="none" w:sz="0" w:space="0" w:color="auto"/>
        <w:left w:val="none" w:sz="0" w:space="0" w:color="auto"/>
        <w:bottom w:val="none" w:sz="0" w:space="0" w:color="auto"/>
        <w:right w:val="none" w:sz="0" w:space="0" w:color="auto"/>
      </w:divBdr>
    </w:div>
    <w:div w:id="287013225">
      <w:bodyDiv w:val="1"/>
      <w:marLeft w:val="0"/>
      <w:marRight w:val="0"/>
      <w:marTop w:val="0"/>
      <w:marBottom w:val="0"/>
      <w:divBdr>
        <w:top w:val="none" w:sz="0" w:space="0" w:color="auto"/>
        <w:left w:val="none" w:sz="0" w:space="0" w:color="auto"/>
        <w:bottom w:val="none" w:sz="0" w:space="0" w:color="auto"/>
        <w:right w:val="none" w:sz="0" w:space="0" w:color="auto"/>
      </w:divBdr>
    </w:div>
    <w:div w:id="311718211">
      <w:bodyDiv w:val="1"/>
      <w:marLeft w:val="0"/>
      <w:marRight w:val="0"/>
      <w:marTop w:val="0"/>
      <w:marBottom w:val="0"/>
      <w:divBdr>
        <w:top w:val="none" w:sz="0" w:space="0" w:color="auto"/>
        <w:left w:val="none" w:sz="0" w:space="0" w:color="auto"/>
        <w:bottom w:val="none" w:sz="0" w:space="0" w:color="auto"/>
        <w:right w:val="none" w:sz="0" w:space="0" w:color="auto"/>
      </w:divBdr>
    </w:div>
    <w:div w:id="402335031">
      <w:bodyDiv w:val="1"/>
      <w:marLeft w:val="0"/>
      <w:marRight w:val="0"/>
      <w:marTop w:val="0"/>
      <w:marBottom w:val="0"/>
      <w:divBdr>
        <w:top w:val="none" w:sz="0" w:space="0" w:color="auto"/>
        <w:left w:val="none" w:sz="0" w:space="0" w:color="auto"/>
        <w:bottom w:val="none" w:sz="0" w:space="0" w:color="auto"/>
        <w:right w:val="none" w:sz="0" w:space="0" w:color="auto"/>
      </w:divBdr>
    </w:div>
    <w:div w:id="590966132">
      <w:bodyDiv w:val="1"/>
      <w:marLeft w:val="0"/>
      <w:marRight w:val="0"/>
      <w:marTop w:val="0"/>
      <w:marBottom w:val="0"/>
      <w:divBdr>
        <w:top w:val="none" w:sz="0" w:space="0" w:color="auto"/>
        <w:left w:val="none" w:sz="0" w:space="0" w:color="auto"/>
        <w:bottom w:val="none" w:sz="0" w:space="0" w:color="auto"/>
        <w:right w:val="none" w:sz="0" w:space="0" w:color="auto"/>
      </w:divBdr>
    </w:div>
    <w:div w:id="692999747">
      <w:bodyDiv w:val="1"/>
      <w:marLeft w:val="0"/>
      <w:marRight w:val="0"/>
      <w:marTop w:val="0"/>
      <w:marBottom w:val="0"/>
      <w:divBdr>
        <w:top w:val="none" w:sz="0" w:space="0" w:color="auto"/>
        <w:left w:val="none" w:sz="0" w:space="0" w:color="auto"/>
        <w:bottom w:val="none" w:sz="0" w:space="0" w:color="auto"/>
        <w:right w:val="none" w:sz="0" w:space="0" w:color="auto"/>
      </w:divBdr>
    </w:div>
    <w:div w:id="796146611">
      <w:bodyDiv w:val="1"/>
      <w:marLeft w:val="0"/>
      <w:marRight w:val="0"/>
      <w:marTop w:val="0"/>
      <w:marBottom w:val="0"/>
      <w:divBdr>
        <w:top w:val="none" w:sz="0" w:space="0" w:color="auto"/>
        <w:left w:val="none" w:sz="0" w:space="0" w:color="auto"/>
        <w:bottom w:val="none" w:sz="0" w:space="0" w:color="auto"/>
        <w:right w:val="none" w:sz="0" w:space="0" w:color="auto"/>
      </w:divBdr>
    </w:div>
    <w:div w:id="984314684">
      <w:bodyDiv w:val="1"/>
      <w:marLeft w:val="0"/>
      <w:marRight w:val="0"/>
      <w:marTop w:val="0"/>
      <w:marBottom w:val="0"/>
      <w:divBdr>
        <w:top w:val="none" w:sz="0" w:space="0" w:color="auto"/>
        <w:left w:val="none" w:sz="0" w:space="0" w:color="auto"/>
        <w:bottom w:val="none" w:sz="0" w:space="0" w:color="auto"/>
        <w:right w:val="none" w:sz="0" w:space="0" w:color="auto"/>
      </w:divBdr>
    </w:div>
    <w:div w:id="995887709">
      <w:bodyDiv w:val="1"/>
      <w:marLeft w:val="0"/>
      <w:marRight w:val="0"/>
      <w:marTop w:val="0"/>
      <w:marBottom w:val="0"/>
      <w:divBdr>
        <w:top w:val="none" w:sz="0" w:space="0" w:color="auto"/>
        <w:left w:val="none" w:sz="0" w:space="0" w:color="auto"/>
        <w:bottom w:val="none" w:sz="0" w:space="0" w:color="auto"/>
        <w:right w:val="none" w:sz="0" w:space="0" w:color="auto"/>
      </w:divBdr>
    </w:div>
    <w:div w:id="1005741163">
      <w:bodyDiv w:val="1"/>
      <w:marLeft w:val="0"/>
      <w:marRight w:val="0"/>
      <w:marTop w:val="0"/>
      <w:marBottom w:val="0"/>
      <w:divBdr>
        <w:top w:val="none" w:sz="0" w:space="0" w:color="auto"/>
        <w:left w:val="none" w:sz="0" w:space="0" w:color="auto"/>
        <w:bottom w:val="none" w:sz="0" w:space="0" w:color="auto"/>
        <w:right w:val="none" w:sz="0" w:space="0" w:color="auto"/>
      </w:divBdr>
    </w:div>
    <w:div w:id="1023283608">
      <w:bodyDiv w:val="1"/>
      <w:marLeft w:val="0"/>
      <w:marRight w:val="0"/>
      <w:marTop w:val="0"/>
      <w:marBottom w:val="0"/>
      <w:divBdr>
        <w:top w:val="none" w:sz="0" w:space="0" w:color="auto"/>
        <w:left w:val="none" w:sz="0" w:space="0" w:color="auto"/>
        <w:bottom w:val="none" w:sz="0" w:space="0" w:color="auto"/>
        <w:right w:val="none" w:sz="0" w:space="0" w:color="auto"/>
      </w:divBdr>
    </w:div>
    <w:div w:id="1410888872">
      <w:bodyDiv w:val="1"/>
      <w:marLeft w:val="0"/>
      <w:marRight w:val="0"/>
      <w:marTop w:val="0"/>
      <w:marBottom w:val="0"/>
      <w:divBdr>
        <w:top w:val="none" w:sz="0" w:space="0" w:color="auto"/>
        <w:left w:val="none" w:sz="0" w:space="0" w:color="auto"/>
        <w:bottom w:val="none" w:sz="0" w:space="0" w:color="auto"/>
        <w:right w:val="none" w:sz="0" w:space="0" w:color="auto"/>
      </w:divBdr>
    </w:div>
    <w:div w:id="1614437639">
      <w:bodyDiv w:val="1"/>
      <w:marLeft w:val="0"/>
      <w:marRight w:val="0"/>
      <w:marTop w:val="0"/>
      <w:marBottom w:val="0"/>
      <w:divBdr>
        <w:top w:val="none" w:sz="0" w:space="0" w:color="auto"/>
        <w:left w:val="none" w:sz="0" w:space="0" w:color="auto"/>
        <w:bottom w:val="none" w:sz="0" w:space="0" w:color="auto"/>
        <w:right w:val="none" w:sz="0" w:space="0" w:color="auto"/>
      </w:divBdr>
    </w:div>
    <w:div w:id="1703627459">
      <w:bodyDiv w:val="1"/>
      <w:marLeft w:val="0"/>
      <w:marRight w:val="0"/>
      <w:marTop w:val="0"/>
      <w:marBottom w:val="0"/>
      <w:divBdr>
        <w:top w:val="none" w:sz="0" w:space="0" w:color="auto"/>
        <w:left w:val="none" w:sz="0" w:space="0" w:color="auto"/>
        <w:bottom w:val="none" w:sz="0" w:space="0" w:color="auto"/>
        <w:right w:val="none" w:sz="0" w:space="0" w:color="auto"/>
      </w:divBdr>
    </w:div>
    <w:div w:id="1783569845">
      <w:bodyDiv w:val="1"/>
      <w:marLeft w:val="0"/>
      <w:marRight w:val="0"/>
      <w:marTop w:val="0"/>
      <w:marBottom w:val="0"/>
      <w:divBdr>
        <w:top w:val="none" w:sz="0" w:space="0" w:color="auto"/>
        <w:left w:val="none" w:sz="0" w:space="0" w:color="auto"/>
        <w:bottom w:val="none" w:sz="0" w:space="0" w:color="auto"/>
        <w:right w:val="none" w:sz="0" w:space="0" w:color="auto"/>
      </w:divBdr>
    </w:div>
    <w:div w:id="1784491603">
      <w:bodyDiv w:val="1"/>
      <w:marLeft w:val="0"/>
      <w:marRight w:val="0"/>
      <w:marTop w:val="0"/>
      <w:marBottom w:val="0"/>
      <w:divBdr>
        <w:top w:val="none" w:sz="0" w:space="0" w:color="auto"/>
        <w:left w:val="none" w:sz="0" w:space="0" w:color="auto"/>
        <w:bottom w:val="none" w:sz="0" w:space="0" w:color="auto"/>
        <w:right w:val="none" w:sz="0" w:space="0" w:color="auto"/>
      </w:divBdr>
    </w:div>
    <w:div w:id="1873423320">
      <w:bodyDiv w:val="1"/>
      <w:marLeft w:val="0"/>
      <w:marRight w:val="0"/>
      <w:marTop w:val="0"/>
      <w:marBottom w:val="0"/>
      <w:divBdr>
        <w:top w:val="none" w:sz="0" w:space="0" w:color="auto"/>
        <w:left w:val="none" w:sz="0" w:space="0" w:color="auto"/>
        <w:bottom w:val="none" w:sz="0" w:space="0" w:color="auto"/>
        <w:right w:val="none" w:sz="0" w:space="0" w:color="auto"/>
      </w:divBdr>
    </w:div>
    <w:div w:id="1889561147">
      <w:bodyDiv w:val="1"/>
      <w:marLeft w:val="0"/>
      <w:marRight w:val="0"/>
      <w:marTop w:val="0"/>
      <w:marBottom w:val="0"/>
      <w:divBdr>
        <w:top w:val="none" w:sz="0" w:space="0" w:color="auto"/>
        <w:left w:val="none" w:sz="0" w:space="0" w:color="auto"/>
        <w:bottom w:val="none" w:sz="0" w:space="0" w:color="auto"/>
        <w:right w:val="none" w:sz="0" w:space="0" w:color="auto"/>
      </w:divBdr>
    </w:div>
    <w:div w:id="1932664075">
      <w:bodyDiv w:val="1"/>
      <w:marLeft w:val="0"/>
      <w:marRight w:val="0"/>
      <w:marTop w:val="0"/>
      <w:marBottom w:val="0"/>
      <w:divBdr>
        <w:top w:val="none" w:sz="0" w:space="0" w:color="auto"/>
        <w:left w:val="none" w:sz="0" w:space="0" w:color="auto"/>
        <w:bottom w:val="none" w:sz="0" w:space="0" w:color="auto"/>
        <w:right w:val="none" w:sz="0" w:space="0" w:color="auto"/>
      </w:divBdr>
    </w:div>
    <w:div w:id="2146963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hart" Target="charts/chart1.xml"/><Relationship Id="rId12" Type="http://schemas.openxmlformats.org/officeDocument/2006/relationships/package" Target="embeddings/Microsoft_Excel_Worksheet.xlsx"/><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emf"/><Relationship Id="rId11" Type="http://schemas.openxmlformats.org/officeDocument/2006/relationships/image" Target="media/image3.emf"/><Relationship Id="rId5" Type="http://schemas.openxmlformats.org/officeDocument/2006/relationships/image" Target="media/image1.emf"/><Relationship Id="rId10" Type="http://schemas.openxmlformats.org/officeDocument/2006/relationships/chart" Target="charts/chart4.xml"/><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Scatterplot</a:t>
            </a:r>
            <a:r>
              <a:rPr lang="en-US" baseline="0"/>
              <a:t> of </a:t>
            </a:r>
            <a:r>
              <a:rPr lang="en-US"/>
              <a:t>Sales vs Shipping Cost</a:t>
            </a:r>
          </a:p>
        </c:rich>
      </c:tx>
      <c:overlay val="0"/>
      <c:spPr>
        <a:solidFill>
          <a:schemeClr val="accent4">
            <a:lumMod val="40000"/>
            <a:lumOff val="60000"/>
          </a:schemeClr>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Worksheet!$A$1</c:f>
              <c:strCache>
                <c:ptCount val="1"/>
                <c:pt idx="0">
                  <c:v>Sales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10344225721784776"/>
                  <c:y val="-3.4814085739282588E-2"/>
                </c:manualLayout>
              </c:layout>
              <c:numFmt formatCode="General" sourceLinked="0"/>
              <c:spPr>
                <a:solidFill>
                  <a:schemeClr val="accent2">
                    <a:lumMod val="40000"/>
                    <a:lumOff val="60000"/>
                  </a:schemeClr>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Worksheet!$B$2:$B$81</c:f>
              <c:numCache>
                <c:formatCode>0</c:formatCode>
                <c:ptCount val="80"/>
                <c:pt idx="0">
                  <c:v>4.13</c:v>
                </c:pt>
                <c:pt idx="1">
                  <c:v>121.4</c:v>
                </c:pt>
                <c:pt idx="2">
                  <c:v>30.41</c:v>
                </c:pt>
                <c:pt idx="3">
                  <c:v>12.92</c:v>
                </c:pt>
                <c:pt idx="4">
                  <c:v>123.26</c:v>
                </c:pt>
                <c:pt idx="5">
                  <c:v>3.74</c:v>
                </c:pt>
                <c:pt idx="6">
                  <c:v>268.10000000000002</c:v>
                </c:pt>
                <c:pt idx="7">
                  <c:v>23.12</c:v>
                </c:pt>
                <c:pt idx="8">
                  <c:v>13.67</c:v>
                </c:pt>
                <c:pt idx="9">
                  <c:v>6.82</c:v>
                </c:pt>
                <c:pt idx="10">
                  <c:v>1.1299999999999999</c:v>
                </c:pt>
                <c:pt idx="11">
                  <c:v>1.3</c:v>
                </c:pt>
                <c:pt idx="12">
                  <c:v>2.2799999999999998</c:v>
                </c:pt>
                <c:pt idx="13">
                  <c:v>67.44</c:v>
                </c:pt>
                <c:pt idx="14">
                  <c:v>1.25</c:v>
                </c:pt>
                <c:pt idx="15">
                  <c:v>1.55</c:v>
                </c:pt>
                <c:pt idx="16">
                  <c:v>1.94</c:v>
                </c:pt>
                <c:pt idx="17">
                  <c:v>1.97</c:v>
                </c:pt>
                <c:pt idx="18">
                  <c:v>1.27</c:v>
                </c:pt>
                <c:pt idx="19">
                  <c:v>1.48</c:v>
                </c:pt>
                <c:pt idx="20">
                  <c:v>3.82</c:v>
                </c:pt>
                <c:pt idx="21">
                  <c:v>1.25</c:v>
                </c:pt>
                <c:pt idx="22">
                  <c:v>5.37</c:v>
                </c:pt>
                <c:pt idx="23">
                  <c:v>19.170000000000002</c:v>
                </c:pt>
                <c:pt idx="24">
                  <c:v>1.73</c:v>
                </c:pt>
                <c:pt idx="25">
                  <c:v>1.57</c:v>
                </c:pt>
                <c:pt idx="26">
                  <c:v>1.8599999999999999</c:v>
                </c:pt>
                <c:pt idx="27">
                  <c:v>3.02</c:v>
                </c:pt>
                <c:pt idx="28">
                  <c:v>5.36</c:v>
                </c:pt>
                <c:pt idx="29">
                  <c:v>1.69</c:v>
                </c:pt>
                <c:pt idx="30">
                  <c:v>131.71</c:v>
                </c:pt>
                <c:pt idx="31">
                  <c:v>1.26</c:v>
                </c:pt>
                <c:pt idx="32">
                  <c:v>3.39</c:v>
                </c:pt>
                <c:pt idx="33">
                  <c:v>1.21</c:v>
                </c:pt>
                <c:pt idx="34">
                  <c:v>2.02</c:v>
                </c:pt>
                <c:pt idx="35">
                  <c:v>1.22</c:v>
                </c:pt>
                <c:pt idx="36">
                  <c:v>1.3900000000000001</c:v>
                </c:pt>
                <c:pt idx="37">
                  <c:v>1.26</c:v>
                </c:pt>
                <c:pt idx="38">
                  <c:v>1.55</c:v>
                </c:pt>
                <c:pt idx="39">
                  <c:v>1.36</c:v>
                </c:pt>
                <c:pt idx="40">
                  <c:v>1.33</c:v>
                </c:pt>
                <c:pt idx="41">
                  <c:v>39.15</c:v>
                </c:pt>
                <c:pt idx="42">
                  <c:v>1.29</c:v>
                </c:pt>
                <c:pt idx="43">
                  <c:v>1.9300000000000002</c:v>
                </c:pt>
                <c:pt idx="44">
                  <c:v>4.99</c:v>
                </c:pt>
                <c:pt idx="45">
                  <c:v>5.35</c:v>
                </c:pt>
                <c:pt idx="46">
                  <c:v>10.11</c:v>
                </c:pt>
                <c:pt idx="47">
                  <c:v>11.95</c:v>
                </c:pt>
                <c:pt idx="48">
                  <c:v>37.64</c:v>
                </c:pt>
                <c:pt idx="49">
                  <c:v>2.4300000000000002</c:v>
                </c:pt>
                <c:pt idx="50">
                  <c:v>5.5</c:v>
                </c:pt>
                <c:pt idx="51">
                  <c:v>28.86</c:v>
                </c:pt>
                <c:pt idx="52">
                  <c:v>1.83</c:v>
                </c:pt>
                <c:pt idx="53">
                  <c:v>11.33</c:v>
                </c:pt>
                <c:pt idx="54">
                  <c:v>4.3099999999999996</c:v>
                </c:pt>
                <c:pt idx="55">
                  <c:v>1.6</c:v>
                </c:pt>
                <c:pt idx="56">
                  <c:v>3.82</c:v>
                </c:pt>
                <c:pt idx="57">
                  <c:v>3.37</c:v>
                </c:pt>
                <c:pt idx="58">
                  <c:v>1.96</c:v>
                </c:pt>
                <c:pt idx="59">
                  <c:v>9.57</c:v>
                </c:pt>
                <c:pt idx="60">
                  <c:v>28.42</c:v>
                </c:pt>
                <c:pt idx="61">
                  <c:v>1.83</c:v>
                </c:pt>
                <c:pt idx="62">
                  <c:v>9.4499999999999993</c:v>
                </c:pt>
                <c:pt idx="63">
                  <c:v>5.21</c:v>
                </c:pt>
                <c:pt idx="64">
                  <c:v>12.55</c:v>
                </c:pt>
                <c:pt idx="65">
                  <c:v>28.86</c:v>
                </c:pt>
                <c:pt idx="66">
                  <c:v>1.9</c:v>
                </c:pt>
                <c:pt idx="67">
                  <c:v>5.26</c:v>
                </c:pt>
                <c:pt idx="68">
                  <c:v>41.34</c:v>
                </c:pt>
                <c:pt idx="69">
                  <c:v>3.24</c:v>
                </c:pt>
                <c:pt idx="70">
                  <c:v>55.01</c:v>
                </c:pt>
                <c:pt idx="71">
                  <c:v>498.08</c:v>
                </c:pt>
                <c:pt idx="72">
                  <c:v>31.43</c:v>
                </c:pt>
                <c:pt idx="73">
                  <c:v>1.1400000000000001</c:v>
                </c:pt>
                <c:pt idx="74">
                  <c:v>3.31</c:v>
                </c:pt>
                <c:pt idx="75">
                  <c:v>1.36</c:v>
                </c:pt>
                <c:pt idx="76">
                  <c:v>106.89</c:v>
                </c:pt>
                <c:pt idx="77">
                  <c:v>11.91</c:v>
                </c:pt>
                <c:pt idx="78">
                  <c:v>16.850000000000001</c:v>
                </c:pt>
                <c:pt idx="79">
                  <c:v>9.36</c:v>
                </c:pt>
              </c:numCache>
            </c:numRef>
          </c:xVal>
          <c:yVal>
            <c:numRef>
              <c:f>Worksheet!$A$2:$A$81</c:f>
              <c:numCache>
                <c:formatCode>0</c:formatCode>
                <c:ptCount val="80"/>
                <c:pt idx="0">
                  <c:v>52</c:v>
                </c:pt>
                <c:pt idx="1">
                  <c:v>1324</c:v>
                </c:pt>
                <c:pt idx="2">
                  <c:v>693</c:v>
                </c:pt>
                <c:pt idx="3">
                  <c:v>186</c:v>
                </c:pt>
                <c:pt idx="4">
                  <c:v>783</c:v>
                </c:pt>
                <c:pt idx="5">
                  <c:v>24</c:v>
                </c:pt>
                <c:pt idx="6">
                  <c:v>2887</c:v>
                </c:pt>
                <c:pt idx="7">
                  <c:v>238</c:v>
                </c:pt>
                <c:pt idx="8">
                  <c:v>199</c:v>
                </c:pt>
                <c:pt idx="9">
                  <c:v>70</c:v>
                </c:pt>
                <c:pt idx="10">
                  <c:v>4</c:v>
                </c:pt>
                <c:pt idx="11">
                  <c:v>17</c:v>
                </c:pt>
                <c:pt idx="12">
                  <c:v>33</c:v>
                </c:pt>
                <c:pt idx="13">
                  <c:v>1297</c:v>
                </c:pt>
                <c:pt idx="14">
                  <c:v>17</c:v>
                </c:pt>
                <c:pt idx="15">
                  <c:v>14</c:v>
                </c:pt>
                <c:pt idx="16">
                  <c:v>24</c:v>
                </c:pt>
                <c:pt idx="17">
                  <c:v>12</c:v>
                </c:pt>
                <c:pt idx="18">
                  <c:v>5</c:v>
                </c:pt>
                <c:pt idx="19">
                  <c:v>11</c:v>
                </c:pt>
                <c:pt idx="20">
                  <c:v>7</c:v>
                </c:pt>
                <c:pt idx="21">
                  <c:v>17</c:v>
                </c:pt>
                <c:pt idx="22">
                  <c:v>14</c:v>
                </c:pt>
                <c:pt idx="23">
                  <c:v>221</c:v>
                </c:pt>
                <c:pt idx="24">
                  <c:v>7</c:v>
                </c:pt>
                <c:pt idx="25">
                  <c:v>17</c:v>
                </c:pt>
                <c:pt idx="26">
                  <c:v>12</c:v>
                </c:pt>
                <c:pt idx="27">
                  <c:v>64</c:v>
                </c:pt>
                <c:pt idx="28">
                  <c:v>92</c:v>
                </c:pt>
                <c:pt idx="29">
                  <c:v>32</c:v>
                </c:pt>
                <c:pt idx="30">
                  <c:v>1737</c:v>
                </c:pt>
                <c:pt idx="31">
                  <c:v>17</c:v>
                </c:pt>
                <c:pt idx="32">
                  <c:v>36</c:v>
                </c:pt>
                <c:pt idx="33">
                  <c:v>2</c:v>
                </c:pt>
                <c:pt idx="34">
                  <c:v>15</c:v>
                </c:pt>
                <c:pt idx="35">
                  <c:v>4</c:v>
                </c:pt>
                <c:pt idx="36">
                  <c:v>4</c:v>
                </c:pt>
                <c:pt idx="37">
                  <c:v>44</c:v>
                </c:pt>
                <c:pt idx="38">
                  <c:v>4</c:v>
                </c:pt>
                <c:pt idx="39">
                  <c:v>15</c:v>
                </c:pt>
                <c:pt idx="40">
                  <c:v>6</c:v>
                </c:pt>
                <c:pt idx="41">
                  <c:v>1369</c:v>
                </c:pt>
                <c:pt idx="42">
                  <c:v>4</c:v>
                </c:pt>
                <c:pt idx="43">
                  <c:v>17</c:v>
                </c:pt>
                <c:pt idx="44">
                  <c:v>42</c:v>
                </c:pt>
                <c:pt idx="45">
                  <c:v>28</c:v>
                </c:pt>
                <c:pt idx="46">
                  <c:v>84</c:v>
                </c:pt>
                <c:pt idx="47">
                  <c:v>143</c:v>
                </c:pt>
                <c:pt idx="48">
                  <c:v>516</c:v>
                </c:pt>
                <c:pt idx="49">
                  <c:v>17</c:v>
                </c:pt>
                <c:pt idx="50">
                  <c:v>29</c:v>
                </c:pt>
                <c:pt idx="51">
                  <c:v>356</c:v>
                </c:pt>
                <c:pt idx="52">
                  <c:v>6</c:v>
                </c:pt>
                <c:pt idx="53">
                  <c:v>42</c:v>
                </c:pt>
                <c:pt idx="54">
                  <c:v>15</c:v>
                </c:pt>
                <c:pt idx="55">
                  <c:v>13</c:v>
                </c:pt>
                <c:pt idx="56">
                  <c:v>37</c:v>
                </c:pt>
                <c:pt idx="57">
                  <c:v>81</c:v>
                </c:pt>
                <c:pt idx="58">
                  <c:v>4</c:v>
                </c:pt>
                <c:pt idx="59">
                  <c:v>31</c:v>
                </c:pt>
                <c:pt idx="60">
                  <c:v>227</c:v>
                </c:pt>
                <c:pt idx="61">
                  <c:v>10</c:v>
                </c:pt>
                <c:pt idx="62">
                  <c:v>70</c:v>
                </c:pt>
                <c:pt idx="63">
                  <c:v>50</c:v>
                </c:pt>
                <c:pt idx="64">
                  <c:v>300</c:v>
                </c:pt>
                <c:pt idx="65">
                  <c:v>432</c:v>
                </c:pt>
                <c:pt idx="66">
                  <c:v>14</c:v>
                </c:pt>
                <c:pt idx="67">
                  <c:v>21</c:v>
                </c:pt>
                <c:pt idx="68">
                  <c:v>588</c:v>
                </c:pt>
                <c:pt idx="69">
                  <c:v>20</c:v>
                </c:pt>
                <c:pt idx="70">
                  <c:v>480</c:v>
                </c:pt>
                <c:pt idx="71">
                  <c:v>8400</c:v>
                </c:pt>
                <c:pt idx="72">
                  <c:v>270</c:v>
                </c:pt>
                <c:pt idx="73">
                  <c:v>3</c:v>
                </c:pt>
                <c:pt idx="74">
                  <c:v>37</c:v>
                </c:pt>
                <c:pt idx="75">
                  <c:v>21</c:v>
                </c:pt>
                <c:pt idx="76">
                  <c:v>334</c:v>
                </c:pt>
                <c:pt idx="77">
                  <c:v>102</c:v>
                </c:pt>
                <c:pt idx="78">
                  <c:v>202</c:v>
                </c:pt>
                <c:pt idx="79">
                  <c:v>160</c:v>
                </c:pt>
              </c:numCache>
            </c:numRef>
          </c:yVal>
          <c:smooth val="0"/>
          <c:extLst>
            <c:ext xmlns:c16="http://schemas.microsoft.com/office/drawing/2014/chart" uri="{C3380CC4-5D6E-409C-BE32-E72D297353CC}">
              <c16:uniqueId val="{00000001-5487-4862-B7D9-EF9D94596FBF}"/>
            </c:ext>
          </c:extLst>
        </c:ser>
        <c:dLbls>
          <c:showLegendKey val="0"/>
          <c:showVal val="0"/>
          <c:showCatName val="0"/>
          <c:showSerName val="0"/>
          <c:showPercent val="0"/>
          <c:showBubbleSize val="0"/>
        </c:dLbls>
        <c:axId val="638002408"/>
        <c:axId val="638000768"/>
      </c:scatterChart>
      <c:valAx>
        <c:axId val="638002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Shipping Cost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000768"/>
        <c:crosses val="autoZero"/>
        <c:crossBetween val="midCat"/>
      </c:valAx>
      <c:valAx>
        <c:axId val="638000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Sales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0024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Scatterplot for</a:t>
            </a:r>
            <a:r>
              <a:rPr lang="en-US" baseline="0"/>
              <a:t> </a:t>
            </a:r>
            <a:r>
              <a:rPr lang="en-US"/>
              <a:t>Residuals vs Predicted</a:t>
            </a:r>
            <a:r>
              <a:rPr lang="en-US" baseline="0"/>
              <a:t> Sales</a:t>
            </a:r>
            <a:endParaRPr lang="en-US"/>
          </a:p>
        </c:rich>
      </c:tx>
      <c:overlay val="0"/>
      <c:spPr>
        <a:solidFill>
          <a:schemeClr val="accent4">
            <a:lumMod val="40000"/>
            <a:lumOff val="60000"/>
          </a:schemeClr>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4715223097112866E-2"/>
          <c:y val="9.8297147722435099E-2"/>
          <c:w val="0.85939588801399824"/>
          <c:h val="0.78250319284802039"/>
        </c:manualLayout>
      </c:layout>
      <c:scatterChart>
        <c:scatterStyle val="lineMarker"/>
        <c:varyColors val="0"/>
        <c:ser>
          <c:idx val="0"/>
          <c:order val="0"/>
          <c:tx>
            <c:strRef>
              <c:f>Worksheet!$H$74</c:f>
              <c:strCache>
                <c:ptCount val="1"/>
                <c:pt idx="0">
                  <c:v>Residuals</c:v>
                </c:pt>
              </c:strCache>
            </c:strRef>
          </c:tx>
          <c:spPr>
            <a:ln w="19050" cap="rnd">
              <a:noFill/>
              <a:round/>
            </a:ln>
            <a:effectLst/>
          </c:spPr>
          <c:marker>
            <c:symbol val="circle"/>
            <c:size val="5"/>
            <c:spPr>
              <a:solidFill>
                <a:schemeClr val="accent1"/>
              </a:solidFill>
              <a:ln w="9525">
                <a:solidFill>
                  <a:schemeClr val="accent1"/>
                </a:solidFill>
              </a:ln>
              <a:effectLst/>
            </c:spPr>
          </c:marker>
          <c:xVal>
            <c:numRef>
              <c:f>Worksheet!$G$75:$G$154</c:f>
              <c:numCache>
                <c:formatCode>General</c:formatCode>
                <c:ptCount val="80"/>
                <c:pt idx="0">
                  <c:v>13.182231147360703</c:v>
                </c:pt>
                <c:pt idx="1">
                  <c:v>1743.2566367587435</c:v>
                </c:pt>
                <c:pt idx="2">
                  <c:v>400.88885159135435</c:v>
                </c:pt>
                <c:pt idx="3">
                  <c:v>142.86035876161884</c:v>
                </c:pt>
                <c:pt idx="4">
                  <c:v>1770.69705966688</c:v>
                </c:pt>
                <c:pt idx="5">
                  <c:v>7.4285940859772381</c:v>
                </c:pt>
                <c:pt idx="6">
                  <c:v>3907.5093467714478</c:v>
                </c:pt>
                <c:pt idx="7">
                  <c:v>293.34009729010955</c:v>
                </c:pt>
                <c:pt idx="8">
                  <c:v>153.92504541812551</c:v>
                </c:pt>
                <c:pt idx="9">
                  <c:v>52.86757395536462</c:v>
                </c:pt>
                <c:pt idx="10">
                  <c:v>-31.076515478665971</c:v>
                </c:pt>
                <c:pt idx="11">
                  <c:v>-28.568519836524459</c:v>
                </c:pt>
                <c:pt idx="12">
                  <c:v>-14.110662605355749</c:v>
                </c:pt>
                <c:pt idx="13">
                  <c:v>947.18931411194353</c:v>
                </c:pt>
                <c:pt idx="14">
                  <c:v>-29.306165613624906</c:v>
                </c:pt>
                <c:pt idx="15">
                  <c:v>-24.880290951022236</c:v>
                </c:pt>
                <c:pt idx="16">
                  <c:v>-19.126653889638771</c:v>
                </c:pt>
                <c:pt idx="17">
                  <c:v>-18.684066423378503</c:v>
                </c:pt>
                <c:pt idx="18">
                  <c:v>-29.011107302784726</c:v>
                </c:pt>
                <c:pt idx="19">
                  <c:v>-25.912995038962858</c:v>
                </c:pt>
                <c:pt idx="20">
                  <c:v>8.6088273293379416</c:v>
                </c:pt>
                <c:pt idx="21">
                  <c:v>-29.306165613624906</c:v>
                </c:pt>
                <c:pt idx="22">
                  <c:v>31.475846419451727</c:v>
                </c:pt>
                <c:pt idx="23">
                  <c:v>235.06608089917444</c:v>
                </c:pt>
                <c:pt idx="24">
                  <c:v>-22.224766153460635</c:v>
                </c:pt>
                <c:pt idx="25">
                  <c:v>-24.58523264018206</c:v>
                </c:pt>
                <c:pt idx="26">
                  <c:v>-20.306887132999481</c:v>
                </c:pt>
                <c:pt idx="27">
                  <c:v>-3.193505104269164</c:v>
                </c:pt>
                <c:pt idx="28">
                  <c:v>31.328317264031639</c:v>
                </c:pt>
                <c:pt idx="29">
                  <c:v>-22.814882775140994</c:v>
                </c:pt>
                <c:pt idx="30">
                  <c:v>1895.3591959968551</c:v>
                </c:pt>
                <c:pt idx="31">
                  <c:v>-29.158636458204814</c:v>
                </c:pt>
                <c:pt idx="32">
                  <c:v>2.265073646274125</c:v>
                </c:pt>
                <c:pt idx="33">
                  <c:v>-29.896282235305261</c:v>
                </c:pt>
                <c:pt idx="34">
                  <c:v>-17.946420646278057</c:v>
                </c:pt>
                <c:pt idx="35">
                  <c:v>-29.748753079885173</c:v>
                </c:pt>
                <c:pt idx="36">
                  <c:v>-27.240757437743657</c:v>
                </c:pt>
                <c:pt idx="37">
                  <c:v>-29.158636458204814</c:v>
                </c:pt>
                <c:pt idx="38">
                  <c:v>-24.880290951022236</c:v>
                </c:pt>
                <c:pt idx="39">
                  <c:v>-27.683344904003924</c:v>
                </c:pt>
                <c:pt idx="40">
                  <c:v>-28.125932370264191</c:v>
                </c:pt>
                <c:pt idx="41">
                  <c:v>529.82933342851197</c:v>
                </c:pt>
                <c:pt idx="42">
                  <c:v>-28.716048991944547</c:v>
                </c:pt>
                <c:pt idx="43">
                  <c:v>-19.274183045058855</c:v>
                </c:pt>
                <c:pt idx="44">
                  <c:v>25.869738513488358</c:v>
                </c:pt>
                <c:pt idx="45">
                  <c:v>31.180788108611537</c:v>
                </c:pt>
                <c:pt idx="46">
                  <c:v>101.40466608857386</c:v>
                </c:pt>
                <c:pt idx="47">
                  <c:v>128.55003068587021</c:v>
                </c:pt>
                <c:pt idx="48">
                  <c:v>507.55243096007865</c:v>
                </c:pt>
                <c:pt idx="49">
                  <c:v>-11.897725274054409</c:v>
                </c:pt>
                <c:pt idx="50">
                  <c:v>33.393725439912885</c:v>
                </c:pt>
                <c:pt idx="51">
                  <c:v>378.02183250124057</c:v>
                </c:pt>
                <c:pt idx="52">
                  <c:v>-20.749474599259745</c:v>
                </c:pt>
                <c:pt idx="53">
                  <c:v>119.4032230498247</c:v>
                </c:pt>
                <c:pt idx="54">
                  <c:v>15.837755944922293</c:v>
                </c:pt>
                <c:pt idx="55">
                  <c:v>-24.142645173921792</c:v>
                </c:pt>
                <c:pt idx="56">
                  <c:v>8.6088273293379416</c:v>
                </c:pt>
                <c:pt idx="57">
                  <c:v>1.9700153354339491</c:v>
                </c:pt>
                <c:pt idx="58">
                  <c:v>-18.831595578798591</c:v>
                </c:pt>
                <c:pt idx="59">
                  <c:v>93.438091695889085</c:v>
                </c:pt>
                <c:pt idx="60">
                  <c:v>371.5305496627567</c:v>
                </c:pt>
                <c:pt idx="61">
                  <c:v>-20.749474599259745</c:v>
                </c:pt>
                <c:pt idx="62">
                  <c:v>91.667741830848001</c:v>
                </c:pt>
                <c:pt idx="63">
                  <c:v>29.115379932730306</c:v>
                </c:pt>
                <c:pt idx="64">
                  <c:v>137.40178001107557</c:v>
                </c:pt>
                <c:pt idx="65">
                  <c:v>378.02183250124057</c:v>
                </c:pt>
                <c:pt idx="66">
                  <c:v>-19.716770511319126</c:v>
                </c:pt>
                <c:pt idx="67">
                  <c:v>29.853025709830746</c:v>
                </c:pt>
                <c:pt idx="68">
                  <c:v>562.1382184655115</c:v>
                </c:pt>
                <c:pt idx="69">
                  <c:v>5.2136314972791808E-2</c:v>
                </c:pt>
                <c:pt idx="70">
                  <c:v>763.81057392477305</c:v>
                </c:pt>
                <c:pt idx="71">
                  <c:v>7300.384863122652</c:v>
                </c:pt>
                <c:pt idx="72">
                  <c:v>415.93682544420341</c:v>
                </c:pt>
                <c:pt idx="73">
                  <c:v>-30.92898632324588</c:v>
                </c:pt>
                <c:pt idx="74">
                  <c:v>1.0848404029134144</c:v>
                </c:pt>
                <c:pt idx="75">
                  <c:v>-27.683344904003924</c:v>
                </c:pt>
                <c:pt idx="76">
                  <c:v>1529.1918322441943</c:v>
                </c:pt>
                <c:pt idx="77">
                  <c:v>127.95991406418989</c:v>
                </c:pt>
                <c:pt idx="78">
                  <c:v>200.83931684171381</c:v>
                </c:pt>
                <c:pt idx="79">
                  <c:v>90.339979432067196</c:v>
                </c:pt>
              </c:numCache>
            </c:numRef>
          </c:xVal>
          <c:yVal>
            <c:numRef>
              <c:f>Worksheet!$H$75:$H$154</c:f>
              <c:numCache>
                <c:formatCode>General</c:formatCode>
                <c:ptCount val="80"/>
                <c:pt idx="0">
                  <c:v>38.817768852639297</c:v>
                </c:pt>
                <c:pt idx="1">
                  <c:v>-419.25663675874353</c:v>
                </c:pt>
                <c:pt idx="2">
                  <c:v>292.11114840864565</c:v>
                </c:pt>
                <c:pt idx="3">
                  <c:v>43.139641238381159</c:v>
                </c:pt>
                <c:pt idx="4">
                  <c:v>-987.69705966688002</c:v>
                </c:pt>
                <c:pt idx="5">
                  <c:v>16.571405914022762</c:v>
                </c:pt>
                <c:pt idx="6">
                  <c:v>-1020.5093467714478</c:v>
                </c:pt>
                <c:pt idx="7">
                  <c:v>-55.340097290109554</c:v>
                </c:pt>
                <c:pt idx="8">
                  <c:v>45.074954581874493</c:v>
                </c:pt>
                <c:pt idx="9">
                  <c:v>17.13242604463538</c:v>
                </c:pt>
                <c:pt idx="10">
                  <c:v>35.076515478665968</c:v>
                </c:pt>
                <c:pt idx="11">
                  <c:v>45.568519836524459</c:v>
                </c:pt>
                <c:pt idx="12">
                  <c:v>47.110662605355749</c:v>
                </c:pt>
                <c:pt idx="13">
                  <c:v>349.81068588805647</c:v>
                </c:pt>
                <c:pt idx="14">
                  <c:v>46.306165613624906</c:v>
                </c:pt>
                <c:pt idx="15">
                  <c:v>38.880290951022232</c:v>
                </c:pt>
                <c:pt idx="16">
                  <c:v>43.126653889638774</c:v>
                </c:pt>
                <c:pt idx="17">
                  <c:v>30.684066423378503</c:v>
                </c:pt>
                <c:pt idx="18">
                  <c:v>34.011107302784723</c:v>
                </c:pt>
                <c:pt idx="19">
                  <c:v>36.912995038962862</c:v>
                </c:pt>
                <c:pt idx="20">
                  <c:v>-1.6088273293379416</c:v>
                </c:pt>
                <c:pt idx="21">
                  <c:v>46.306165613624906</c:v>
                </c:pt>
                <c:pt idx="22">
                  <c:v>-17.475846419451727</c:v>
                </c:pt>
                <c:pt idx="23">
                  <c:v>-14.066080899174437</c:v>
                </c:pt>
                <c:pt idx="24">
                  <c:v>29.224766153460635</c:v>
                </c:pt>
                <c:pt idx="25">
                  <c:v>41.585232640182056</c:v>
                </c:pt>
                <c:pt idx="26">
                  <c:v>32.306887132999478</c:v>
                </c:pt>
                <c:pt idx="27">
                  <c:v>67.193505104269164</c:v>
                </c:pt>
                <c:pt idx="28">
                  <c:v>60.671682735968361</c:v>
                </c:pt>
                <c:pt idx="29">
                  <c:v>54.814882775140994</c:v>
                </c:pt>
                <c:pt idx="30">
                  <c:v>-158.35919599685508</c:v>
                </c:pt>
                <c:pt idx="31">
                  <c:v>46.158636458204811</c:v>
                </c:pt>
                <c:pt idx="32">
                  <c:v>33.734926353725875</c:v>
                </c:pt>
                <c:pt idx="33">
                  <c:v>31.896282235305261</c:v>
                </c:pt>
                <c:pt idx="34">
                  <c:v>32.946420646278057</c:v>
                </c:pt>
                <c:pt idx="35">
                  <c:v>33.748753079885176</c:v>
                </c:pt>
                <c:pt idx="36">
                  <c:v>31.240757437743657</c:v>
                </c:pt>
                <c:pt idx="37">
                  <c:v>73.158636458204811</c:v>
                </c:pt>
                <c:pt idx="38">
                  <c:v>28.880290951022236</c:v>
                </c:pt>
                <c:pt idx="39">
                  <c:v>42.683344904003924</c:v>
                </c:pt>
                <c:pt idx="40">
                  <c:v>34.125932370264195</c:v>
                </c:pt>
                <c:pt idx="41">
                  <c:v>839.17066657148803</c:v>
                </c:pt>
                <c:pt idx="42">
                  <c:v>32.716048991944547</c:v>
                </c:pt>
                <c:pt idx="43">
                  <c:v>36.274183045058855</c:v>
                </c:pt>
                <c:pt idx="44">
                  <c:v>16.130261486511642</c:v>
                </c:pt>
                <c:pt idx="45">
                  <c:v>-3.1807881086115373</c:v>
                </c:pt>
                <c:pt idx="46">
                  <c:v>-17.404666088573862</c:v>
                </c:pt>
                <c:pt idx="47">
                  <c:v>14.449969314129788</c:v>
                </c:pt>
                <c:pt idx="48">
                  <c:v>8.4475690399213477</c:v>
                </c:pt>
                <c:pt idx="49">
                  <c:v>28.897725274054409</c:v>
                </c:pt>
                <c:pt idx="50">
                  <c:v>-4.3937254399128847</c:v>
                </c:pt>
                <c:pt idx="51">
                  <c:v>-22.021832501240567</c:v>
                </c:pt>
                <c:pt idx="52">
                  <c:v>26.749474599259745</c:v>
                </c:pt>
                <c:pt idx="53">
                  <c:v>-77.403223049824703</c:v>
                </c:pt>
                <c:pt idx="54">
                  <c:v>-0.83775594492229288</c:v>
                </c:pt>
                <c:pt idx="55">
                  <c:v>37.142645173921792</c:v>
                </c:pt>
                <c:pt idx="56">
                  <c:v>28.391172670662058</c:v>
                </c:pt>
                <c:pt idx="57">
                  <c:v>79.029984664566058</c:v>
                </c:pt>
                <c:pt idx="58">
                  <c:v>22.831595578798591</c:v>
                </c:pt>
                <c:pt idx="59">
                  <c:v>-62.438091695889085</c:v>
                </c:pt>
                <c:pt idx="60">
                  <c:v>-144.5305496627567</c:v>
                </c:pt>
                <c:pt idx="61">
                  <c:v>30.749474599259745</c:v>
                </c:pt>
                <c:pt idx="62">
                  <c:v>-21.667741830848001</c:v>
                </c:pt>
                <c:pt idx="63">
                  <c:v>20.884620067269694</c:v>
                </c:pt>
                <c:pt idx="64">
                  <c:v>162.59821998892443</c:v>
                </c:pt>
                <c:pt idx="65">
                  <c:v>53.978167498759433</c:v>
                </c:pt>
                <c:pt idx="66">
                  <c:v>33.716770511319126</c:v>
                </c:pt>
                <c:pt idx="67">
                  <c:v>-8.8530257098307459</c:v>
                </c:pt>
                <c:pt idx="68">
                  <c:v>25.8617815344885</c:v>
                </c:pt>
                <c:pt idx="69">
                  <c:v>19.947863685027208</c:v>
                </c:pt>
                <c:pt idx="70">
                  <c:v>-283.81057392477305</c:v>
                </c:pt>
                <c:pt idx="71">
                  <c:v>1099.615136877348</c:v>
                </c:pt>
                <c:pt idx="72">
                  <c:v>-145.93682544420341</c:v>
                </c:pt>
                <c:pt idx="73">
                  <c:v>33.92898632324588</c:v>
                </c:pt>
                <c:pt idx="74">
                  <c:v>35.915159597086586</c:v>
                </c:pt>
                <c:pt idx="75">
                  <c:v>48.683344904003924</c:v>
                </c:pt>
                <c:pt idx="76">
                  <c:v>-1195.1918322441943</c:v>
                </c:pt>
                <c:pt idx="77">
                  <c:v>-25.959914064189888</c:v>
                </c:pt>
                <c:pt idx="78">
                  <c:v>1.1606831582861901</c:v>
                </c:pt>
                <c:pt idx="79">
                  <c:v>69.660020567932804</c:v>
                </c:pt>
              </c:numCache>
            </c:numRef>
          </c:yVal>
          <c:smooth val="0"/>
          <c:extLst>
            <c:ext xmlns:c16="http://schemas.microsoft.com/office/drawing/2014/chart" uri="{C3380CC4-5D6E-409C-BE32-E72D297353CC}">
              <c16:uniqueId val="{00000000-6F81-4DBD-9BB8-D48E34AA3060}"/>
            </c:ext>
          </c:extLst>
        </c:ser>
        <c:dLbls>
          <c:showLegendKey val="0"/>
          <c:showVal val="0"/>
          <c:showCatName val="0"/>
          <c:showSerName val="0"/>
          <c:showPercent val="0"/>
          <c:showBubbleSize val="0"/>
        </c:dLbls>
        <c:axId val="746195312"/>
        <c:axId val="736595672"/>
      </c:scatterChart>
      <c:valAx>
        <c:axId val="7461953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Predicted Sales </a:t>
                </a:r>
              </a:p>
            </c:rich>
          </c:tx>
          <c:layout>
            <c:manualLayout>
              <c:xMode val="edge"/>
              <c:yMode val="edge"/>
              <c:x val="0.41467694663167104"/>
              <c:y val="0.9020859940400169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6595672"/>
        <c:crosses val="autoZero"/>
        <c:crossBetween val="midCat"/>
      </c:valAx>
      <c:valAx>
        <c:axId val="736595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Residuals</a:t>
                </a:r>
              </a:p>
            </c:rich>
          </c:tx>
          <c:layout>
            <c:manualLayout>
              <c:xMode val="edge"/>
              <c:yMode val="edge"/>
              <c:x val="3.4145669291338582E-2"/>
              <c:y val="0.4339611763089000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619531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b="0"/>
              <a:t>Histogram</a:t>
            </a:r>
          </a:p>
        </c:rich>
      </c:tx>
      <c:overlay val="0"/>
      <c:spPr>
        <a:solidFill>
          <a:schemeClr val="accent4">
            <a:lumMod val="40000"/>
            <a:lumOff val="60000"/>
          </a:schemeClr>
        </a:solidFill>
      </c:spPr>
    </c:title>
    <c:autoTitleDeleted val="0"/>
    <c:plotArea>
      <c:layout/>
      <c:barChart>
        <c:barDir val="col"/>
        <c:grouping val="clustered"/>
        <c:varyColors val="0"/>
        <c:ser>
          <c:idx val="0"/>
          <c:order val="0"/>
          <c:tx>
            <c:v>Frequency</c:v>
          </c:tx>
          <c:invertIfNegative val="0"/>
          <c:cat>
            <c:strRef>
              <c:f>Worksheet!$M$96:$M$104</c:f>
              <c:strCache>
                <c:ptCount val="9"/>
                <c:pt idx="0">
                  <c:v>-1195.191832</c:v>
                </c:pt>
                <c:pt idx="1">
                  <c:v>-908.3409611</c:v>
                </c:pt>
                <c:pt idx="2">
                  <c:v>-621.49009</c:v>
                </c:pt>
                <c:pt idx="3">
                  <c:v>-334.6392188</c:v>
                </c:pt>
                <c:pt idx="4">
                  <c:v>-47.78834768</c:v>
                </c:pt>
                <c:pt idx="5">
                  <c:v>239.0625235</c:v>
                </c:pt>
                <c:pt idx="6">
                  <c:v>525.9133946</c:v>
                </c:pt>
                <c:pt idx="7">
                  <c:v>812.7642657</c:v>
                </c:pt>
                <c:pt idx="8">
                  <c:v>More</c:v>
                </c:pt>
              </c:strCache>
            </c:strRef>
          </c:cat>
          <c:val>
            <c:numRef>
              <c:f>Worksheet!$N$96:$N$104</c:f>
              <c:numCache>
                <c:formatCode>General</c:formatCode>
                <c:ptCount val="9"/>
                <c:pt idx="0">
                  <c:v>1</c:v>
                </c:pt>
                <c:pt idx="1">
                  <c:v>2</c:v>
                </c:pt>
                <c:pt idx="2">
                  <c:v>0</c:v>
                </c:pt>
                <c:pt idx="3">
                  <c:v>1</c:v>
                </c:pt>
                <c:pt idx="4">
                  <c:v>7</c:v>
                </c:pt>
                <c:pt idx="5">
                  <c:v>65</c:v>
                </c:pt>
                <c:pt idx="6">
                  <c:v>2</c:v>
                </c:pt>
                <c:pt idx="7">
                  <c:v>0</c:v>
                </c:pt>
                <c:pt idx="8">
                  <c:v>2</c:v>
                </c:pt>
              </c:numCache>
            </c:numRef>
          </c:val>
          <c:extLst>
            <c:ext xmlns:c16="http://schemas.microsoft.com/office/drawing/2014/chart" uri="{C3380CC4-5D6E-409C-BE32-E72D297353CC}">
              <c16:uniqueId val="{00000000-F89F-4EE7-BCAD-6FDFFDA2FFFF}"/>
            </c:ext>
          </c:extLst>
        </c:ser>
        <c:dLbls>
          <c:showLegendKey val="0"/>
          <c:showVal val="0"/>
          <c:showCatName val="0"/>
          <c:showSerName val="0"/>
          <c:showPercent val="0"/>
          <c:showBubbleSize val="0"/>
        </c:dLbls>
        <c:gapWidth val="150"/>
        <c:axId val="749788280"/>
        <c:axId val="749790248"/>
      </c:barChart>
      <c:catAx>
        <c:axId val="749788280"/>
        <c:scaling>
          <c:orientation val="minMax"/>
        </c:scaling>
        <c:delete val="0"/>
        <c:axPos val="b"/>
        <c:title>
          <c:tx>
            <c:rich>
              <a:bodyPr/>
              <a:lstStyle/>
              <a:p>
                <a:pPr>
                  <a:defRPr/>
                </a:pPr>
                <a:r>
                  <a:rPr lang="en-US"/>
                  <a:t>Bin</a:t>
                </a:r>
              </a:p>
            </c:rich>
          </c:tx>
          <c:overlay val="0"/>
        </c:title>
        <c:numFmt formatCode="General" sourceLinked="1"/>
        <c:majorTickMark val="out"/>
        <c:minorTickMark val="none"/>
        <c:tickLblPos val="nextTo"/>
        <c:crossAx val="749790248"/>
        <c:crosses val="autoZero"/>
        <c:auto val="1"/>
        <c:lblAlgn val="ctr"/>
        <c:lblOffset val="100"/>
        <c:noMultiLvlLbl val="0"/>
      </c:catAx>
      <c:valAx>
        <c:axId val="749790248"/>
        <c:scaling>
          <c:orientation val="minMax"/>
        </c:scaling>
        <c:delete val="0"/>
        <c:axPos val="l"/>
        <c:title>
          <c:tx>
            <c:rich>
              <a:bodyPr/>
              <a:lstStyle/>
              <a:p>
                <a:pPr>
                  <a:defRPr/>
                </a:pPr>
                <a:r>
                  <a:rPr lang="en-US"/>
                  <a:t>Frequency</a:t>
                </a:r>
              </a:p>
            </c:rich>
          </c:tx>
          <c:overlay val="0"/>
        </c:title>
        <c:numFmt formatCode="General" sourceLinked="1"/>
        <c:majorTickMark val="out"/>
        <c:minorTickMark val="none"/>
        <c:tickLblPos val="nextTo"/>
        <c:crossAx val="749788280"/>
        <c:crosses val="autoZero"/>
        <c:crossBetween val="between"/>
      </c:valAx>
    </c:plotArea>
    <c:legend>
      <c:legendPos val="r"/>
      <c:overlay val="0"/>
    </c:legend>
    <c:plotVisOnly val="1"/>
    <c:dispBlanksAs val="gap"/>
    <c:extLst>
      <c:ext xmlns:c16r3="http://schemas.microsoft.com/office/drawing/2017/03/chart" uri="{56B9EC1D-385E-4148-901F-78D8002777C0}">
        <c16r3:dataDisplayOptions16>
          <c16r3:dispNaAsBlank val="1"/>
        </c16r3:dataDisplayOptions16>
      </c:ext>
    </c:extLst>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Normal Probability Plot for Sales</a:t>
            </a:r>
          </a:p>
        </c:rich>
      </c:tx>
      <c:overlay val="0"/>
      <c:spPr>
        <a:solidFill>
          <a:schemeClr val="accent4">
            <a:lumMod val="40000"/>
            <a:lumOff val="60000"/>
          </a:schemeClr>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Worksheet!$K$74</c:f>
              <c:strCache>
                <c:ptCount val="1"/>
                <c:pt idx="0">
                  <c:v>Sales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Worksheet!$J$75:$J$154</c:f>
              <c:numCache>
                <c:formatCode>General</c:formatCode>
                <c:ptCount val="80"/>
                <c:pt idx="0">
                  <c:v>0.625</c:v>
                </c:pt>
                <c:pt idx="1">
                  <c:v>1.875</c:v>
                </c:pt>
                <c:pt idx="2">
                  <c:v>3.125</c:v>
                </c:pt>
                <c:pt idx="3">
                  <c:v>4.375</c:v>
                </c:pt>
                <c:pt idx="4">
                  <c:v>5.625</c:v>
                </c:pt>
                <c:pt idx="5">
                  <c:v>6.875</c:v>
                </c:pt>
                <c:pt idx="6">
                  <c:v>8.125</c:v>
                </c:pt>
                <c:pt idx="7">
                  <c:v>9.375</c:v>
                </c:pt>
                <c:pt idx="8">
                  <c:v>10.625</c:v>
                </c:pt>
                <c:pt idx="9">
                  <c:v>11.875</c:v>
                </c:pt>
                <c:pt idx="10">
                  <c:v>13.125</c:v>
                </c:pt>
                <c:pt idx="11">
                  <c:v>14.375</c:v>
                </c:pt>
                <c:pt idx="12">
                  <c:v>15.625</c:v>
                </c:pt>
                <c:pt idx="13">
                  <c:v>16.875</c:v>
                </c:pt>
                <c:pt idx="14">
                  <c:v>18.125</c:v>
                </c:pt>
                <c:pt idx="15">
                  <c:v>19.375</c:v>
                </c:pt>
                <c:pt idx="16">
                  <c:v>20.625</c:v>
                </c:pt>
                <c:pt idx="17">
                  <c:v>21.875</c:v>
                </c:pt>
                <c:pt idx="18">
                  <c:v>23.125</c:v>
                </c:pt>
                <c:pt idx="19">
                  <c:v>24.375</c:v>
                </c:pt>
                <c:pt idx="20">
                  <c:v>25.625</c:v>
                </c:pt>
                <c:pt idx="21">
                  <c:v>26.875</c:v>
                </c:pt>
                <c:pt idx="22">
                  <c:v>28.125</c:v>
                </c:pt>
                <c:pt idx="23">
                  <c:v>29.375</c:v>
                </c:pt>
                <c:pt idx="24">
                  <c:v>30.625</c:v>
                </c:pt>
                <c:pt idx="25">
                  <c:v>31.875</c:v>
                </c:pt>
                <c:pt idx="26">
                  <c:v>33.125</c:v>
                </c:pt>
                <c:pt idx="27">
                  <c:v>34.375</c:v>
                </c:pt>
                <c:pt idx="28">
                  <c:v>35.625</c:v>
                </c:pt>
                <c:pt idx="29">
                  <c:v>36.875</c:v>
                </c:pt>
                <c:pt idx="30">
                  <c:v>38.125</c:v>
                </c:pt>
                <c:pt idx="31">
                  <c:v>39.375</c:v>
                </c:pt>
                <c:pt idx="32">
                  <c:v>40.625</c:v>
                </c:pt>
                <c:pt idx="33">
                  <c:v>41.875</c:v>
                </c:pt>
                <c:pt idx="34">
                  <c:v>43.125</c:v>
                </c:pt>
                <c:pt idx="35">
                  <c:v>44.375</c:v>
                </c:pt>
                <c:pt idx="36">
                  <c:v>45.625</c:v>
                </c:pt>
                <c:pt idx="37">
                  <c:v>46.875</c:v>
                </c:pt>
                <c:pt idx="38">
                  <c:v>48.125</c:v>
                </c:pt>
                <c:pt idx="39">
                  <c:v>49.375</c:v>
                </c:pt>
                <c:pt idx="40">
                  <c:v>50.625</c:v>
                </c:pt>
                <c:pt idx="41">
                  <c:v>51.875</c:v>
                </c:pt>
                <c:pt idx="42">
                  <c:v>53.125</c:v>
                </c:pt>
                <c:pt idx="43">
                  <c:v>54.375</c:v>
                </c:pt>
                <c:pt idx="44">
                  <c:v>55.625</c:v>
                </c:pt>
                <c:pt idx="45">
                  <c:v>56.875</c:v>
                </c:pt>
                <c:pt idx="46">
                  <c:v>58.125</c:v>
                </c:pt>
                <c:pt idx="47">
                  <c:v>59.375</c:v>
                </c:pt>
                <c:pt idx="48">
                  <c:v>60.625</c:v>
                </c:pt>
                <c:pt idx="49">
                  <c:v>61.875</c:v>
                </c:pt>
                <c:pt idx="50">
                  <c:v>63.125</c:v>
                </c:pt>
                <c:pt idx="51">
                  <c:v>64.375</c:v>
                </c:pt>
                <c:pt idx="52">
                  <c:v>65.625</c:v>
                </c:pt>
                <c:pt idx="53">
                  <c:v>66.875</c:v>
                </c:pt>
                <c:pt idx="54">
                  <c:v>68.125</c:v>
                </c:pt>
                <c:pt idx="55">
                  <c:v>69.375</c:v>
                </c:pt>
                <c:pt idx="56">
                  <c:v>70.625</c:v>
                </c:pt>
                <c:pt idx="57">
                  <c:v>71.875</c:v>
                </c:pt>
                <c:pt idx="58">
                  <c:v>73.125</c:v>
                </c:pt>
                <c:pt idx="59">
                  <c:v>74.375</c:v>
                </c:pt>
                <c:pt idx="60">
                  <c:v>75.625</c:v>
                </c:pt>
                <c:pt idx="61">
                  <c:v>76.875</c:v>
                </c:pt>
                <c:pt idx="62">
                  <c:v>78.125</c:v>
                </c:pt>
                <c:pt idx="63">
                  <c:v>79.375</c:v>
                </c:pt>
                <c:pt idx="64">
                  <c:v>80.625</c:v>
                </c:pt>
                <c:pt idx="65">
                  <c:v>81.875</c:v>
                </c:pt>
                <c:pt idx="66">
                  <c:v>83.125</c:v>
                </c:pt>
                <c:pt idx="67">
                  <c:v>84.375</c:v>
                </c:pt>
                <c:pt idx="68">
                  <c:v>85.625</c:v>
                </c:pt>
                <c:pt idx="69">
                  <c:v>86.875</c:v>
                </c:pt>
                <c:pt idx="70">
                  <c:v>88.125</c:v>
                </c:pt>
                <c:pt idx="71">
                  <c:v>89.375</c:v>
                </c:pt>
                <c:pt idx="72">
                  <c:v>90.625</c:v>
                </c:pt>
                <c:pt idx="73">
                  <c:v>91.875</c:v>
                </c:pt>
                <c:pt idx="74">
                  <c:v>93.125</c:v>
                </c:pt>
                <c:pt idx="75">
                  <c:v>94.375</c:v>
                </c:pt>
                <c:pt idx="76">
                  <c:v>95.625</c:v>
                </c:pt>
                <c:pt idx="77">
                  <c:v>96.875</c:v>
                </c:pt>
                <c:pt idx="78">
                  <c:v>98.125</c:v>
                </c:pt>
                <c:pt idx="79">
                  <c:v>99.375</c:v>
                </c:pt>
              </c:numCache>
            </c:numRef>
          </c:xVal>
          <c:yVal>
            <c:numRef>
              <c:f>Worksheet!$K$75:$K$154</c:f>
              <c:numCache>
                <c:formatCode>General</c:formatCode>
                <c:ptCount val="80"/>
                <c:pt idx="0">
                  <c:v>2</c:v>
                </c:pt>
                <c:pt idx="1">
                  <c:v>3</c:v>
                </c:pt>
                <c:pt idx="2">
                  <c:v>4</c:v>
                </c:pt>
                <c:pt idx="3">
                  <c:v>4</c:v>
                </c:pt>
                <c:pt idx="4">
                  <c:v>4</c:v>
                </c:pt>
                <c:pt idx="5">
                  <c:v>4</c:v>
                </c:pt>
                <c:pt idx="6">
                  <c:v>4</c:v>
                </c:pt>
                <c:pt idx="7">
                  <c:v>4</c:v>
                </c:pt>
                <c:pt idx="8">
                  <c:v>5</c:v>
                </c:pt>
                <c:pt idx="9">
                  <c:v>6</c:v>
                </c:pt>
                <c:pt idx="10">
                  <c:v>6</c:v>
                </c:pt>
                <c:pt idx="11">
                  <c:v>7</c:v>
                </c:pt>
                <c:pt idx="12">
                  <c:v>7</c:v>
                </c:pt>
                <c:pt idx="13">
                  <c:v>10</c:v>
                </c:pt>
                <c:pt idx="14">
                  <c:v>11</c:v>
                </c:pt>
                <c:pt idx="15">
                  <c:v>12</c:v>
                </c:pt>
                <c:pt idx="16">
                  <c:v>12</c:v>
                </c:pt>
                <c:pt idx="17">
                  <c:v>13</c:v>
                </c:pt>
                <c:pt idx="18">
                  <c:v>14</c:v>
                </c:pt>
                <c:pt idx="19">
                  <c:v>14</c:v>
                </c:pt>
                <c:pt idx="20">
                  <c:v>14</c:v>
                </c:pt>
                <c:pt idx="21">
                  <c:v>15</c:v>
                </c:pt>
                <c:pt idx="22">
                  <c:v>15</c:v>
                </c:pt>
                <c:pt idx="23">
                  <c:v>15</c:v>
                </c:pt>
                <c:pt idx="24">
                  <c:v>17</c:v>
                </c:pt>
                <c:pt idx="25">
                  <c:v>17</c:v>
                </c:pt>
                <c:pt idx="26">
                  <c:v>17</c:v>
                </c:pt>
                <c:pt idx="27">
                  <c:v>17</c:v>
                </c:pt>
                <c:pt idx="28">
                  <c:v>17</c:v>
                </c:pt>
                <c:pt idx="29">
                  <c:v>17</c:v>
                </c:pt>
                <c:pt idx="30">
                  <c:v>17</c:v>
                </c:pt>
                <c:pt idx="31">
                  <c:v>20</c:v>
                </c:pt>
                <c:pt idx="32">
                  <c:v>21</c:v>
                </c:pt>
                <c:pt idx="33">
                  <c:v>21</c:v>
                </c:pt>
                <c:pt idx="34">
                  <c:v>24</c:v>
                </c:pt>
                <c:pt idx="35">
                  <c:v>24</c:v>
                </c:pt>
                <c:pt idx="36">
                  <c:v>28</c:v>
                </c:pt>
                <c:pt idx="37">
                  <c:v>29</c:v>
                </c:pt>
                <c:pt idx="38">
                  <c:v>31</c:v>
                </c:pt>
                <c:pt idx="39">
                  <c:v>32</c:v>
                </c:pt>
                <c:pt idx="40">
                  <c:v>33</c:v>
                </c:pt>
                <c:pt idx="41">
                  <c:v>36</c:v>
                </c:pt>
                <c:pt idx="42">
                  <c:v>37</c:v>
                </c:pt>
                <c:pt idx="43">
                  <c:v>37</c:v>
                </c:pt>
                <c:pt idx="44">
                  <c:v>42</c:v>
                </c:pt>
                <c:pt idx="45">
                  <c:v>42</c:v>
                </c:pt>
                <c:pt idx="46">
                  <c:v>44</c:v>
                </c:pt>
                <c:pt idx="47">
                  <c:v>50</c:v>
                </c:pt>
                <c:pt idx="48">
                  <c:v>52</c:v>
                </c:pt>
                <c:pt idx="49">
                  <c:v>64</c:v>
                </c:pt>
                <c:pt idx="50">
                  <c:v>70</c:v>
                </c:pt>
                <c:pt idx="51">
                  <c:v>70</c:v>
                </c:pt>
                <c:pt idx="52">
                  <c:v>81</c:v>
                </c:pt>
                <c:pt idx="53">
                  <c:v>84</c:v>
                </c:pt>
                <c:pt idx="54">
                  <c:v>92</c:v>
                </c:pt>
                <c:pt idx="55">
                  <c:v>102</c:v>
                </c:pt>
                <c:pt idx="56">
                  <c:v>143</c:v>
                </c:pt>
                <c:pt idx="57">
                  <c:v>160</c:v>
                </c:pt>
                <c:pt idx="58">
                  <c:v>186</c:v>
                </c:pt>
                <c:pt idx="59">
                  <c:v>199</c:v>
                </c:pt>
                <c:pt idx="60">
                  <c:v>202</c:v>
                </c:pt>
                <c:pt idx="61">
                  <c:v>221</c:v>
                </c:pt>
                <c:pt idx="62">
                  <c:v>227</c:v>
                </c:pt>
                <c:pt idx="63">
                  <c:v>238</c:v>
                </c:pt>
                <c:pt idx="64">
                  <c:v>270</c:v>
                </c:pt>
                <c:pt idx="65">
                  <c:v>300</c:v>
                </c:pt>
                <c:pt idx="66">
                  <c:v>334</c:v>
                </c:pt>
                <c:pt idx="67">
                  <c:v>356</c:v>
                </c:pt>
                <c:pt idx="68">
                  <c:v>432</c:v>
                </c:pt>
                <c:pt idx="69">
                  <c:v>480</c:v>
                </c:pt>
                <c:pt idx="70">
                  <c:v>516</c:v>
                </c:pt>
                <c:pt idx="71">
                  <c:v>588</c:v>
                </c:pt>
                <c:pt idx="72">
                  <c:v>693</c:v>
                </c:pt>
                <c:pt idx="73">
                  <c:v>783</c:v>
                </c:pt>
                <c:pt idx="74">
                  <c:v>1297</c:v>
                </c:pt>
                <c:pt idx="75">
                  <c:v>1324</c:v>
                </c:pt>
                <c:pt idx="76">
                  <c:v>1369</c:v>
                </c:pt>
                <c:pt idx="77">
                  <c:v>1737</c:v>
                </c:pt>
                <c:pt idx="78">
                  <c:v>2887</c:v>
                </c:pt>
                <c:pt idx="79">
                  <c:v>8400</c:v>
                </c:pt>
              </c:numCache>
            </c:numRef>
          </c:yVal>
          <c:smooth val="0"/>
          <c:extLst>
            <c:ext xmlns:c16="http://schemas.microsoft.com/office/drawing/2014/chart" uri="{C3380CC4-5D6E-409C-BE32-E72D297353CC}">
              <c16:uniqueId val="{00000001-AD3C-4C01-AC84-C645E64DAE78}"/>
            </c:ext>
          </c:extLst>
        </c:ser>
        <c:dLbls>
          <c:showLegendKey val="0"/>
          <c:showVal val="0"/>
          <c:showCatName val="0"/>
          <c:showSerName val="0"/>
          <c:showPercent val="0"/>
          <c:showBubbleSize val="0"/>
        </c:dLbls>
        <c:axId val="746192688"/>
        <c:axId val="746185800"/>
      </c:scatterChart>
      <c:valAx>
        <c:axId val="746192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Percentile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6185800"/>
        <c:crosses val="autoZero"/>
        <c:crossBetween val="midCat"/>
      </c:valAx>
      <c:valAx>
        <c:axId val="746185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Sales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619268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5C766-E8FF-4049-923C-55BE20892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1805</TotalTime>
  <Pages>5</Pages>
  <Words>597</Words>
  <Characters>3407</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Swapna Vijayakumar</dc:creator>
  <cp:keywords/>
  <dc:description/>
  <cp:lastModifiedBy>Swapna Vijayakumar</cp:lastModifiedBy>
  <cp:revision>19</cp:revision>
  <dcterms:created xsi:type="dcterms:W3CDTF">2018-11-13T16:22:00Z</dcterms:created>
  <dcterms:modified xsi:type="dcterms:W3CDTF">2018-11-15T03:01:00Z</dcterms:modified>
</cp:coreProperties>
</file>